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52"/>
          <w:szCs w:val="52"/>
        </w:rPr>
      </w:pPr>
      <w:r>
        <w:rPr>
          <w:rFonts w:hint="eastAsia" w:ascii="新宋体" w:hAnsi="新宋体" w:eastAsia="新宋体"/>
          <w:b/>
          <w:sz w:val="84"/>
          <w:szCs w:val="84"/>
        </w:rPr>
        <w:t>网上竞价采购文件</w:t>
      </w:r>
    </w:p>
    <w:p>
      <w:pPr>
        <w:pStyle w:val="8"/>
        <w:spacing w:line="0" w:lineRule="atLeast"/>
        <w:rPr>
          <w:rFonts w:hAnsi="宋体"/>
          <w:b/>
          <w:sz w:val="32"/>
        </w:rPr>
      </w:pPr>
    </w:p>
    <w:p>
      <w:pPr>
        <w:pStyle w:val="8"/>
        <w:spacing w:line="0" w:lineRule="atLeast"/>
        <w:jc w:val="center"/>
        <w:rPr>
          <w:rFonts w:hAnsi="宋体"/>
          <w:b/>
          <w:sz w:val="36"/>
        </w:rPr>
      </w:pPr>
    </w:p>
    <w:p>
      <w:pPr>
        <w:pStyle w:val="8"/>
        <w:spacing w:line="0" w:lineRule="atLeast"/>
        <w:jc w:val="center"/>
        <w:rPr>
          <w:rFonts w:hAnsi="宋体"/>
          <w:b/>
          <w:sz w:val="36"/>
        </w:rPr>
      </w:pPr>
    </w:p>
    <w:p>
      <w:pPr>
        <w:pStyle w:val="8"/>
        <w:spacing w:line="0" w:lineRule="atLeast"/>
        <w:jc w:val="center"/>
        <w:rPr>
          <w:rFonts w:hAnsi="宋体"/>
          <w:b/>
          <w:sz w:val="36"/>
        </w:rPr>
      </w:pPr>
    </w:p>
    <w:p>
      <w:pPr>
        <w:pStyle w:val="8"/>
        <w:spacing w:line="400" w:lineRule="exact"/>
        <w:rPr>
          <w:rFonts w:hAnsi="宋体"/>
          <w:b/>
          <w:sz w:val="36"/>
        </w:rPr>
      </w:pPr>
    </w:p>
    <w:p>
      <w:pPr>
        <w:pStyle w:val="8"/>
        <w:spacing w:line="400" w:lineRule="exact"/>
        <w:rPr>
          <w:rFonts w:hAnsi="宋体"/>
          <w:b/>
          <w:sz w:val="36"/>
        </w:rPr>
      </w:pPr>
    </w:p>
    <w:p>
      <w:pPr>
        <w:pStyle w:val="8"/>
        <w:spacing w:line="640" w:lineRule="exact"/>
        <w:ind w:firstLine="1285" w:firstLineChars="400"/>
        <w:rPr>
          <w:rFonts w:hAnsi="宋体"/>
          <w:b/>
          <w:sz w:val="32"/>
          <w:szCs w:val="32"/>
        </w:rPr>
      </w:pPr>
      <w:r>
        <w:rPr>
          <w:rFonts w:hint="eastAsia" w:hAnsi="宋体"/>
          <w:b/>
          <w:sz w:val="32"/>
          <w:szCs w:val="32"/>
        </w:rPr>
        <w:t>项目编号：FXZB-2023135</w:t>
      </w:r>
    </w:p>
    <w:p>
      <w:pPr>
        <w:pStyle w:val="8"/>
        <w:spacing w:line="640" w:lineRule="exact"/>
        <w:ind w:firstLine="1285" w:firstLineChars="400"/>
        <w:rPr>
          <w:rFonts w:hAnsi="宋体"/>
          <w:b/>
          <w:sz w:val="32"/>
          <w:szCs w:val="32"/>
          <w:u w:val="single"/>
        </w:rPr>
      </w:pPr>
      <w:r>
        <w:rPr>
          <w:rFonts w:hint="eastAsia" w:hAnsi="宋体"/>
          <w:b/>
          <w:sz w:val="32"/>
          <w:szCs w:val="32"/>
        </w:rPr>
        <w:t>项目名称：校园有害生物防治服务采购项目</w:t>
      </w:r>
    </w:p>
    <w:p>
      <w:pPr>
        <w:pStyle w:val="8"/>
        <w:spacing w:line="640" w:lineRule="exact"/>
        <w:ind w:firstLine="1285" w:firstLineChars="400"/>
        <w:rPr>
          <w:rFonts w:hAnsi="宋体"/>
          <w:b/>
          <w:sz w:val="32"/>
          <w:szCs w:val="32"/>
        </w:rPr>
      </w:pPr>
      <w:r>
        <w:rPr>
          <w:rFonts w:hint="eastAsia" w:hAnsi="宋体"/>
          <w:b/>
          <w:sz w:val="32"/>
          <w:szCs w:val="32"/>
        </w:rPr>
        <w:t xml:space="preserve">采 购 人：福建农林大学  </w:t>
      </w:r>
    </w:p>
    <w:p>
      <w:pPr>
        <w:spacing w:line="500" w:lineRule="exact"/>
        <w:rPr>
          <w:rFonts w:ascii="宋体" w:hAnsi="宋体"/>
          <w:b/>
          <w:sz w:val="48"/>
        </w:rPr>
      </w:pPr>
    </w:p>
    <w:p>
      <w:pPr>
        <w:pStyle w:val="28"/>
        <w:rPr>
          <w:rFonts w:ascii="宋体" w:hAnsi="宋体"/>
          <w:b/>
          <w:sz w:val="48"/>
        </w:rPr>
      </w:pPr>
    </w:p>
    <w:p>
      <w:pPr>
        <w:pStyle w:val="28"/>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r>
        <w:rPr>
          <w:rFonts w:hint="eastAsia" w:ascii="宋体" w:hAnsi="宋体"/>
          <w:b/>
          <w:sz w:val="32"/>
          <w:szCs w:val="32"/>
        </w:rPr>
        <w:t>福建方兴招标代理有限公司</w:t>
      </w:r>
    </w:p>
    <w:p>
      <w:pPr>
        <w:spacing w:line="500" w:lineRule="exact"/>
        <w:jc w:val="center"/>
        <w:rPr>
          <w:rFonts w:ascii="宋体" w:hAnsi="宋体"/>
          <w:b/>
          <w:sz w:val="32"/>
          <w:szCs w:val="32"/>
        </w:rPr>
      </w:pPr>
      <w:r>
        <w:rPr>
          <w:rFonts w:hint="eastAsia" w:ascii="宋体" w:hAnsi="宋体"/>
          <w:b/>
          <w:sz w:val="32"/>
          <w:szCs w:val="32"/>
        </w:rPr>
        <w:t>二〇二三年十</w:t>
      </w:r>
      <w:r>
        <w:rPr>
          <w:rFonts w:hint="eastAsia" w:ascii="宋体" w:hAnsi="宋体"/>
          <w:b/>
          <w:sz w:val="32"/>
          <w:szCs w:val="32"/>
          <w:lang w:eastAsia="zh-CN"/>
        </w:rPr>
        <w:t>二</w:t>
      </w:r>
      <w:r>
        <w:rPr>
          <w:rFonts w:hint="eastAsia" w:ascii="宋体" w:hAnsi="宋体"/>
          <w:b/>
          <w:sz w:val="32"/>
          <w:szCs w:val="32"/>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宋体" w:hAnsi="宋体"/>
        </w:rPr>
      </w:pPr>
      <w:r>
        <w:rPr>
          <w:rFonts w:hint="eastAsia" w:ascii="宋体" w:hAnsi="宋体"/>
          <w:b/>
        </w:rPr>
        <w:t>地    址：福州市鼓楼区鼓屏路192号山海大厦南楼11层</w:t>
      </w:r>
    </w:p>
    <w:p>
      <w:pPr>
        <w:snapToGrid w:val="0"/>
        <w:spacing w:line="400" w:lineRule="exact"/>
        <w:rPr>
          <w:rFonts w:ascii="宋体" w:hAnsi="宋体" w:cs="宋体"/>
          <w:b/>
          <w:bCs/>
          <w:szCs w:val="28"/>
        </w:rPr>
      </w:pPr>
      <w:r>
        <w:rPr>
          <w:rFonts w:hint="eastAsia" w:ascii="宋体" w:hAnsi="宋体"/>
          <w:b/>
        </w:rPr>
        <w:t>电    话：0591-87278232</w:t>
      </w:r>
    </w:p>
    <w:p>
      <w:pPr>
        <w:snapToGrid w:val="0"/>
        <w:spacing w:line="400" w:lineRule="exact"/>
        <w:rPr>
          <w:rFonts w:ascii="宋体" w:hAnsi="宋体"/>
          <w:b/>
        </w:rPr>
      </w:pPr>
      <w:r>
        <w:rPr>
          <w:rFonts w:hint="eastAsia" w:ascii="宋体" w:hAnsi="宋体"/>
          <w:b/>
        </w:rPr>
        <w:t>邮    编：350001</w:t>
      </w:r>
    </w:p>
    <w:p>
      <w:pPr>
        <w:snapToGrid w:val="0"/>
        <w:spacing w:line="400" w:lineRule="exact"/>
        <w:rPr>
          <w:rFonts w:ascii="宋体" w:hAnsi="宋体"/>
          <w:b/>
        </w:rPr>
      </w:pPr>
      <w:r>
        <w:rPr>
          <w:rFonts w:hint="eastAsia" w:ascii="宋体" w:hAnsi="宋体"/>
          <w:b/>
        </w:rPr>
        <w:t>传    真： 0591-87278232</w:t>
      </w:r>
    </w:p>
    <w:p>
      <w:pPr>
        <w:spacing w:line="400" w:lineRule="exact"/>
        <w:rPr>
          <w:rFonts w:ascii="宋体" w:hAnsi="宋体"/>
          <w:b/>
        </w:rPr>
      </w:pPr>
      <w:r>
        <w:rPr>
          <w:rFonts w:hint="eastAsia" w:ascii="宋体" w:hAnsi="宋体"/>
          <w:b/>
        </w:rPr>
        <w:t>网    址：</w:t>
      </w:r>
      <w:r>
        <w:fldChar w:fldCharType="begin"/>
      </w:r>
      <w:r>
        <w:instrText xml:space="preserve"> HYPERLINK "Http://www.fjfxzbdl.com" </w:instrText>
      </w:r>
      <w:r>
        <w:fldChar w:fldCharType="separate"/>
      </w:r>
      <w:r>
        <w:rPr>
          <w:rFonts w:hint="eastAsia" w:ascii="宋体" w:hAnsi="宋体"/>
          <w:b/>
        </w:rPr>
        <w:t>Http://www.fjfxzbdl.com</w:t>
      </w:r>
      <w:r>
        <w:rPr>
          <w:rFonts w:hint="eastAsia" w:ascii="宋体" w:hAnsi="宋体"/>
          <w:b/>
        </w:rPr>
        <w:fldChar w:fldCharType="end"/>
      </w:r>
    </w:p>
    <w:p>
      <w:pPr>
        <w:pStyle w:val="19"/>
        <w:rPr>
          <w:rFonts w:ascii="宋体" w:hAnsi="宋体"/>
        </w:rPr>
      </w:pPr>
    </w:p>
    <w:p>
      <w:pPr>
        <w:jc w:val="left"/>
        <w:rPr>
          <w:rFonts w:ascii="宋体" w:hAnsi="宋体"/>
        </w:rPr>
      </w:pPr>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rPr>
      </w:pPr>
      <w:r>
        <w:rPr>
          <w:rFonts w:hint="eastAsia" w:ascii="宋体" w:hAnsi="宋体"/>
          <w:sz w:val="24"/>
          <w:szCs w:val="24"/>
        </w:rPr>
        <w:t>福建方兴招标代理有限公司现邀请合格的供应商对以下采购项目进行网上竞价。</w:t>
      </w:r>
    </w:p>
    <w:p>
      <w:pPr>
        <w:spacing w:line="440" w:lineRule="exact"/>
        <w:ind w:firstLine="480" w:firstLineChars="200"/>
        <w:rPr>
          <w:rFonts w:ascii="宋体" w:hAnsi="宋体"/>
          <w:sz w:val="24"/>
          <w:szCs w:val="24"/>
        </w:rPr>
      </w:pPr>
      <w:r>
        <w:rPr>
          <w:rFonts w:hint="eastAsia" w:ascii="宋体" w:hAnsi="宋体"/>
          <w:sz w:val="24"/>
          <w:szCs w:val="24"/>
        </w:rPr>
        <w:t>1、项目编号：FXZB-2023135</w:t>
      </w:r>
    </w:p>
    <w:p>
      <w:pPr>
        <w:spacing w:line="440" w:lineRule="exact"/>
        <w:ind w:firstLine="480" w:firstLineChars="200"/>
        <w:rPr>
          <w:rFonts w:ascii="宋体" w:hAnsi="宋体"/>
          <w:sz w:val="24"/>
          <w:szCs w:val="24"/>
        </w:rPr>
      </w:pPr>
      <w:r>
        <w:rPr>
          <w:rFonts w:hint="eastAsia" w:ascii="宋体" w:hAnsi="宋体"/>
          <w:sz w:val="24"/>
          <w:szCs w:val="24"/>
        </w:rPr>
        <w:t>2、项目名称：校园有害生物防治服务采购项目</w:t>
      </w:r>
    </w:p>
    <w:p>
      <w:pPr>
        <w:spacing w:line="440" w:lineRule="exact"/>
        <w:ind w:firstLine="480"/>
        <w:rPr>
          <w:rFonts w:ascii="宋体" w:hAnsi="宋体"/>
          <w:sz w:val="24"/>
          <w:szCs w:val="24"/>
        </w:rPr>
      </w:pPr>
      <w:r>
        <w:rPr>
          <w:rFonts w:hint="eastAsia" w:ascii="宋体" w:hAnsi="宋体"/>
          <w:sz w:val="24"/>
          <w:szCs w:val="24"/>
        </w:rPr>
        <w:t xml:space="preserve">3、竞价采购标的名称、数量及技术参数要求等详见“竞价采购说明一览表”。 </w:t>
      </w:r>
    </w:p>
    <w:p>
      <w:pPr>
        <w:spacing w:line="440" w:lineRule="exact"/>
        <w:ind w:firstLine="480"/>
        <w:rPr>
          <w:rFonts w:ascii="宋体" w:hAnsi="宋体"/>
          <w:sz w:val="24"/>
          <w:szCs w:val="24"/>
        </w:rPr>
      </w:pPr>
      <w:r>
        <w:rPr>
          <w:rFonts w:hint="eastAsia" w:ascii="宋体" w:hAnsi="宋体"/>
          <w:sz w:val="24"/>
          <w:szCs w:val="24"/>
        </w:rPr>
        <w:t>4、合同包总数：1</w:t>
      </w:r>
    </w:p>
    <w:p>
      <w:pPr>
        <w:spacing w:line="440" w:lineRule="exact"/>
        <w:ind w:firstLine="480"/>
        <w:rPr>
          <w:rFonts w:ascii="宋体" w:hAnsi="宋体"/>
          <w:sz w:val="24"/>
          <w:szCs w:val="24"/>
        </w:rPr>
      </w:pPr>
      <w:r>
        <w:rPr>
          <w:rFonts w:hint="eastAsia" w:ascii="宋体" w:hAnsi="宋体"/>
          <w:sz w:val="24"/>
          <w:szCs w:val="24"/>
        </w:rPr>
        <w:t>5、公告起始时间：</w:t>
      </w:r>
      <w:r>
        <w:rPr>
          <w:rFonts w:hint="eastAsia" w:ascii="宋体" w:hAnsi="宋体"/>
          <w:sz w:val="24"/>
          <w:szCs w:val="24"/>
          <w:u w:val="single"/>
        </w:rPr>
        <w:t>2023年</w:t>
      </w:r>
      <w:r>
        <w:rPr>
          <w:rFonts w:hint="eastAsia" w:ascii="宋体" w:hAnsi="宋体"/>
          <w:sz w:val="24"/>
          <w:szCs w:val="24"/>
          <w:u w:val="single"/>
          <w:lang w:val="en-US" w:eastAsia="zh-CN"/>
        </w:rPr>
        <w:t>12</w:t>
      </w:r>
      <w:r>
        <w:rPr>
          <w:rFonts w:hint="eastAsia" w:ascii="宋体" w:hAnsi="宋体"/>
          <w:sz w:val="24"/>
          <w:szCs w:val="24"/>
          <w:u w:val="single"/>
        </w:rPr>
        <w:t>月</w:t>
      </w:r>
      <w:r>
        <w:rPr>
          <w:rFonts w:hint="eastAsia" w:ascii="宋体" w:hAnsi="宋体"/>
          <w:sz w:val="24"/>
          <w:szCs w:val="24"/>
          <w:u w:val="single"/>
          <w:lang w:val="en-US" w:eastAsia="zh-CN"/>
        </w:rPr>
        <w:t>6</w:t>
      </w:r>
      <w:r>
        <w:rPr>
          <w:rFonts w:hint="eastAsia" w:ascii="宋体" w:hAnsi="宋体"/>
          <w:sz w:val="24"/>
          <w:szCs w:val="24"/>
          <w:u w:val="single"/>
        </w:rPr>
        <w:t>日</w:t>
      </w:r>
      <w:r>
        <w:rPr>
          <w:rFonts w:hint="eastAsia" w:ascii="宋体" w:hAnsi="宋体"/>
          <w:sz w:val="24"/>
          <w:szCs w:val="24"/>
        </w:rPr>
        <w:t xml:space="preserve">  </w:t>
      </w:r>
    </w:p>
    <w:p>
      <w:pPr>
        <w:spacing w:line="440" w:lineRule="exact"/>
        <w:rPr>
          <w:rFonts w:ascii="宋体" w:hAnsi="宋体"/>
          <w:sz w:val="24"/>
          <w:szCs w:val="24"/>
        </w:rPr>
      </w:pPr>
      <w:r>
        <w:rPr>
          <w:rFonts w:hint="eastAsia" w:ascii="宋体" w:hAnsi="宋体"/>
          <w:sz w:val="24"/>
          <w:szCs w:val="24"/>
        </w:rPr>
        <w:t xml:space="preserve">    6、报名起始时间：</w:t>
      </w:r>
      <w:r>
        <w:rPr>
          <w:rFonts w:hint="eastAsia" w:ascii="宋体" w:hAnsi="宋体"/>
          <w:sz w:val="24"/>
          <w:szCs w:val="24"/>
          <w:u w:val="single"/>
        </w:rPr>
        <w:t>2023年</w:t>
      </w:r>
      <w:r>
        <w:rPr>
          <w:rFonts w:hint="eastAsia" w:ascii="宋体" w:hAnsi="宋体"/>
          <w:sz w:val="24"/>
          <w:szCs w:val="24"/>
          <w:u w:val="single"/>
          <w:lang w:val="en-US" w:eastAsia="zh-CN"/>
        </w:rPr>
        <w:t>12</w:t>
      </w:r>
      <w:r>
        <w:rPr>
          <w:rFonts w:hint="eastAsia" w:ascii="宋体" w:hAnsi="宋体"/>
          <w:sz w:val="24"/>
          <w:szCs w:val="24"/>
          <w:u w:val="single"/>
        </w:rPr>
        <w:t>月</w:t>
      </w:r>
      <w:r>
        <w:rPr>
          <w:rFonts w:hint="eastAsia" w:ascii="宋体" w:hAnsi="宋体"/>
          <w:sz w:val="24"/>
          <w:szCs w:val="24"/>
          <w:u w:val="single"/>
          <w:lang w:val="en-US" w:eastAsia="zh-CN"/>
        </w:rPr>
        <w:t>7</w:t>
      </w:r>
      <w:r>
        <w:rPr>
          <w:rFonts w:hint="eastAsia" w:ascii="宋体" w:hAnsi="宋体"/>
          <w:sz w:val="24"/>
          <w:szCs w:val="24"/>
          <w:u w:val="single"/>
        </w:rPr>
        <w:t>日08:00:00</w:t>
      </w:r>
    </w:p>
    <w:p>
      <w:pPr>
        <w:spacing w:line="440" w:lineRule="exact"/>
        <w:rPr>
          <w:rFonts w:ascii="宋体" w:hAnsi="宋体"/>
          <w:sz w:val="24"/>
          <w:szCs w:val="24"/>
        </w:rPr>
      </w:pPr>
      <w:r>
        <w:rPr>
          <w:rFonts w:hint="eastAsia" w:ascii="宋体" w:hAnsi="宋体"/>
          <w:sz w:val="24"/>
          <w:szCs w:val="24"/>
        </w:rPr>
        <w:t xml:space="preserve">    7、报名截止时间：</w:t>
      </w:r>
      <w:r>
        <w:rPr>
          <w:rFonts w:hint="eastAsia" w:ascii="宋体" w:hAnsi="宋体"/>
          <w:sz w:val="24"/>
          <w:szCs w:val="24"/>
          <w:u w:val="single"/>
        </w:rPr>
        <w:t>2023年</w:t>
      </w:r>
      <w:r>
        <w:rPr>
          <w:rFonts w:hint="eastAsia" w:ascii="宋体" w:hAnsi="宋体"/>
          <w:sz w:val="24"/>
          <w:szCs w:val="24"/>
          <w:u w:val="single"/>
          <w:lang w:val="en-US" w:eastAsia="zh-CN"/>
        </w:rPr>
        <w:t>12</w:t>
      </w:r>
      <w:r>
        <w:rPr>
          <w:rFonts w:hint="eastAsia" w:ascii="宋体" w:hAnsi="宋体"/>
          <w:sz w:val="24"/>
          <w:szCs w:val="24"/>
          <w:u w:val="single"/>
        </w:rPr>
        <w:t>月</w:t>
      </w:r>
      <w:r>
        <w:rPr>
          <w:rFonts w:hint="eastAsia" w:ascii="宋体" w:hAnsi="宋体"/>
          <w:sz w:val="24"/>
          <w:szCs w:val="24"/>
          <w:u w:val="single"/>
          <w:lang w:val="en-US" w:eastAsia="zh-CN"/>
        </w:rPr>
        <w:t>11</w:t>
      </w:r>
      <w:r>
        <w:rPr>
          <w:rFonts w:hint="eastAsia" w:ascii="宋体" w:hAnsi="宋体"/>
          <w:sz w:val="24"/>
          <w:szCs w:val="24"/>
          <w:u w:val="single"/>
        </w:rPr>
        <w:t>日17:30:00</w:t>
      </w:r>
    </w:p>
    <w:p>
      <w:pPr>
        <w:spacing w:line="440" w:lineRule="exact"/>
        <w:rPr>
          <w:rFonts w:ascii="宋体" w:hAnsi="宋体"/>
          <w:sz w:val="24"/>
          <w:szCs w:val="24"/>
        </w:rPr>
      </w:pPr>
      <w:r>
        <w:rPr>
          <w:rFonts w:hint="eastAsia" w:ascii="宋体" w:hAnsi="宋体"/>
          <w:sz w:val="24"/>
          <w:szCs w:val="24"/>
        </w:rPr>
        <w:t xml:space="preserve">    8、竞价起始时间：</w:t>
      </w:r>
      <w:r>
        <w:rPr>
          <w:rFonts w:hint="eastAsia" w:ascii="宋体" w:hAnsi="宋体"/>
          <w:sz w:val="24"/>
          <w:szCs w:val="24"/>
          <w:u w:val="single"/>
        </w:rPr>
        <w:t>2023年</w:t>
      </w:r>
      <w:r>
        <w:rPr>
          <w:rFonts w:hint="eastAsia" w:ascii="宋体" w:hAnsi="宋体"/>
          <w:sz w:val="24"/>
          <w:szCs w:val="24"/>
          <w:u w:val="single"/>
          <w:lang w:val="en-US" w:eastAsia="zh-CN"/>
        </w:rPr>
        <w:t>12</w:t>
      </w:r>
      <w:r>
        <w:rPr>
          <w:rFonts w:hint="eastAsia" w:ascii="宋体" w:hAnsi="宋体"/>
          <w:sz w:val="24"/>
          <w:szCs w:val="24"/>
          <w:u w:val="single"/>
        </w:rPr>
        <w:t>月</w:t>
      </w:r>
      <w:r>
        <w:rPr>
          <w:rFonts w:hint="eastAsia" w:ascii="宋体" w:hAnsi="宋体"/>
          <w:sz w:val="24"/>
          <w:szCs w:val="24"/>
          <w:u w:val="single"/>
          <w:lang w:val="en-US" w:eastAsia="zh-CN"/>
        </w:rPr>
        <w:t>12</w:t>
      </w:r>
      <w:r>
        <w:rPr>
          <w:rFonts w:hint="eastAsia" w:ascii="宋体" w:hAnsi="宋体"/>
          <w:sz w:val="24"/>
          <w:szCs w:val="24"/>
          <w:u w:val="single"/>
        </w:rPr>
        <w:t>日09:00:00</w:t>
      </w:r>
    </w:p>
    <w:p>
      <w:pPr>
        <w:spacing w:line="440" w:lineRule="exact"/>
        <w:rPr>
          <w:rFonts w:ascii="宋体" w:hAnsi="宋体"/>
          <w:sz w:val="24"/>
          <w:szCs w:val="24"/>
        </w:rPr>
      </w:pPr>
      <w:r>
        <w:rPr>
          <w:rFonts w:hint="eastAsia" w:ascii="宋体" w:hAnsi="宋体"/>
          <w:sz w:val="24"/>
          <w:szCs w:val="24"/>
        </w:rPr>
        <w:t xml:space="preserve">    9、竞价截止时间：</w:t>
      </w:r>
      <w:r>
        <w:rPr>
          <w:rFonts w:hint="eastAsia" w:ascii="宋体" w:hAnsi="宋体"/>
          <w:sz w:val="24"/>
          <w:szCs w:val="24"/>
          <w:u w:val="single"/>
        </w:rPr>
        <w:t>2023年</w:t>
      </w:r>
      <w:r>
        <w:rPr>
          <w:rFonts w:hint="eastAsia" w:ascii="宋体" w:hAnsi="宋体"/>
          <w:sz w:val="24"/>
          <w:szCs w:val="24"/>
          <w:u w:val="single"/>
          <w:lang w:val="en-US" w:eastAsia="zh-CN"/>
        </w:rPr>
        <w:t>12</w:t>
      </w:r>
      <w:r>
        <w:rPr>
          <w:rFonts w:hint="eastAsia" w:ascii="宋体" w:hAnsi="宋体"/>
          <w:sz w:val="24"/>
          <w:szCs w:val="24"/>
          <w:u w:val="single"/>
        </w:rPr>
        <w:t>月</w:t>
      </w:r>
      <w:r>
        <w:rPr>
          <w:rFonts w:hint="eastAsia" w:ascii="宋体" w:hAnsi="宋体"/>
          <w:sz w:val="24"/>
          <w:szCs w:val="24"/>
          <w:u w:val="single"/>
          <w:lang w:val="en-US" w:eastAsia="zh-CN"/>
        </w:rPr>
        <w:t>12</w:t>
      </w:r>
      <w:r>
        <w:rPr>
          <w:rFonts w:hint="eastAsia" w:ascii="宋体" w:hAnsi="宋体"/>
          <w:sz w:val="24"/>
          <w:szCs w:val="24"/>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ascii="宋体" w:hAnsi="宋体"/>
          <w:sz w:val="24"/>
          <w:szCs w:val="24"/>
        </w:rPr>
        <w:t>http://www.</w:t>
      </w:r>
      <w:r>
        <w:rPr>
          <w:rFonts w:hint="eastAsia" w:ascii="宋体" w:hAnsi="宋体"/>
          <w:sz w:val="24"/>
          <w:szCs w:val="24"/>
        </w:rPr>
        <w:t>fjfxzbdl</w:t>
      </w:r>
      <w:r>
        <w:rPr>
          <w:rFonts w:ascii="宋体" w:hAnsi="宋体"/>
          <w:sz w:val="24"/>
          <w:szCs w:val="24"/>
        </w:rPr>
        <w:t>.com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福建方兴招标代理有限公司都将在中国政府采购网(http://www.ccgp.gov.cn/)、福建方兴招标代理有限公司(http://www.fjfxzbdl.com)上公布，请潜在竞价人随时关注相关网站，以免错漏重要信息。</w:t>
      </w:r>
    </w:p>
    <w:p>
      <w:pPr>
        <w:spacing w:line="440" w:lineRule="exact"/>
        <w:ind w:firstLine="480" w:firstLineChars="200"/>
        <w:rPr>
          <w:rFonts w:ascii="宋体" w:hAnsi="宋体"/>
          <w:sz w:val="24"/>
          <w:szCs w:val="24"/>
        </w:rPr>
      </w:pPr>
      <w:r>
        <w:rPr>
          <w:rFonts w:hint="eastAsia" w:ascii="宋体" w:hAnsi="宋体"/>
          <w:sz w:val="24"/>
          <w:szCs w:val="24"/>
        </w:rPr>
        <w:t>12、</w:t>
      </w:r>
      <w:r>
        <w:rPr>
          <w:rFonts w:hint="eastAsia" w:ascii="宋体" w:hAnsi="宋体"/>
          <w:b/>
          <w:color w:val="000000" w:themeColor="text1"/>
          <w:sz w:val="24"/>
          <w:szCs w:val="24"/>
        </w:rPr>
        <w:t>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rPr>
      </w:pPr>
      <w:r>
        <w:rPr>
          <w:rFonts w:hint="eastAsia" w:ascii="宋体" w:hAnsi="宋体"/>
          <w:sz w:val="24"/>
          <w:szCs w:val="24"/>
        </w:rPr>
        <w:t>地  址：福建省福州市仓山区上下店路15号</w:t>
      </w:r>
    </w:p>
    <w:p>
      <w:pPr>
        <w:spacing w:line="440" w:lineRule="exact"/>
        <w:ind w:firstLine="480" w:firstLineChars="200"/>
        <w:rPr>
          <w:rFonts w:ascii="宋体" w:hAnsi="宋体"/>
          <w:sz w:val="24"/>
          <w:szCs w:val="24"/>
        </w:rPr>
      </w:pPr>
      <w:r>
        <w:rPr>
          <w:rFonts w:hint="eastAsia" w:ascii="宋体" w:hAnsi="宋体"/>
          <w:sz w:val="24"/>
          <w:szCs w:val="24"/>
        </w:rPr>
        <w:t>联系人：陈团生</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话：88262130</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bCs/>
          <w:sz w:val="24"/>
        </w:rPr>
        <w:t>福建方兴招标代理有限公司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hint="eastAsia" w:ascii="宋体" w:hAnsi="宋体"/>
          <w:sz w:val="24"/>
        </w:rPr>
        <w:t>福州市鼓楼区鼓屏路192号山海大厦南楼11层</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rPr>
        <w:t>刘滢、周雨晨</w:t>
      </w:r>
      <w:r>
        <w:rPr>
          <w:rFonts w:ascii="宋体" w:hAnsi="宋体"/>
          <w:sz w:val="24"/>
          <w:szCs w:val="24"/>
        </w:rPr>
        <w:t xml:space="preserve"> </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hint="eastAsia" w:ascii="宋体" w:hAnsi="宋体"/>
          <w:bCs/>
          <w:sz w:val="24"/>
        </w:rPr>
        <w:t>0591-872782</w:t>
      </w:r>
      <w:r>
        <w:rPr>
          <w:rFonts w:hint="eastAsia" w:ascii="宋体" w:hAnsi="宋体"/>
          <w:bCs/>
          <w:sz w:val="24"/>
          <w:lang w:val="en-US" w:eastAsia="zh-CN"/>
        </w:rPr>
        <w:t>32</w:t>
      </w:r>
    </w:p>
    <w:p>
      <w:pPr>
        <w:spacing w:line="440" w:lineRule="exact"/>
        <w:ind w:firstLine="480" w:firstLineChars="200"/>
        <w:rPr>
          <w:rFonts w:ascii="宋体" w:hAnsi="宋体"/>
          <w:sz w:val="24"/>
          <w:szCs w:val="24"/>
        </w:rPr>
      </w:pPr>
      <w:r>
        <w:rPr>
          <w:rFonts w:hint="eastAsia" w:ascii="宋体" w:hAnsi="宋体"/>
          <w:sz w:val="24"/>
          <w:szCs w:val="24"/>
        </w:rPr>
        <w:t>电子信箱：fxzb178@163.com</w:t>
      </w:r>
    </w:p>
    <w:p>
      <w:pPr>
        <w:wordWrap w:val="0"/>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b/>
          <w:sz w:val="24"/>
          <w:szCs w:val="24"/>
          <w:u w:val="single"/>
        </w:rPr>
        <w:t>福建方兴招标代理有限公司(http://www.fjfxzbdl.com)</w:t>
      </w:r>
      <w:r>
        <w:rPr>
          <w:rFonts w:hint="eastAsia" w:ascii="宋体" w:hAnsi="宋体"/>
          <w:sz w:val="24"/>
          <w:szCs w:val="24"/>
          <w:u w:val="single"/>
        </w:rPr>
        <w:t xml:space="preserve"> </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134" w:bottom="1440" w:left="1134" w:header="851" w:footer="992" w:gutter="0"/>
          <w:cols w:space="720" w:num="1"/>
          <w:docGrid w:type="lines" w:linePitch="312" w:charSpace="0"/>
        </w:sectPr>
      </w:pPr>
    </w:p>
    <w:p>
      <w:pPr>
        <w:jc w:val="center"/>
        <w:rPr>
          <w:rFonts w:ascii="宋体" w:hAnsi="宋体"/>
          <w:b/>
          <w:sz w:val="28"/>
          <w:szCs w:val="28"/>
        </w:rPr>
      </w:pPr>
      <w:r>
        <w:rPr>
          <w:rFonts w:hint="eastAsia" w:ascii="宋体" w:hAnsi="宋体"/>
          <w:b/>
          <w:sz w:val="28"/>
          <w:szCs w:val="28"/>
        </w:rPr>
        <w:t>第二章  竞价采购说明一览表</w:t>
      </w:r>
    </w:p>
    <w:p>
      <w:pPr>
        <w:pStyle w:val="19"/>
        <w:ind w:left="0" w:leftChars="0" w:firstLine="0" w:firstLineChars="0"/>
        <w:rPr>
          <w:rFonts w:ascii="宋体" w:hAnsi="宋体"/>
          <w:sz w:val="24"/>
        </w:rPr>
      </w:pPr>
      <w:r>
        <w:rPr>
          <w:rFonts w:hint="eastAsia" w:ascii="宋体" w:hAnsi="宋体"/>
          <w:sz w:val="24"/>
          <w:szCs w:val="32"/>
        </w:rPr>
        <w:t>服务类</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1461"/>
        <w:gridCol w:w="2932"/>
        <w:gridCol w:w="1069"/>
        <w:gridCol w:w="1547"/>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2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简要服务要求</w:t>
            </w:r>
          </w:p>
        </w:tc>
        <w:tc>
          <w:tcPr>
            <w:tcW w:w="10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5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校园有害生物防治服务采购项目</w:t>
            </w:r>
          </w:p>
        </w:tc>
        <w:tc>
          <w:tcPr>
            <w:tcW w:w="2932"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ascii="宋体" w:hAnsi="宋体" w:cs="新宋体"/>
                <w:kern w:val="0"/>
                <w:sz w:val="24"/>
                <w:szCs w:val="24"/>
              </w:rPr>
              <w:t>福建农林大学</w:t>
            </w:r>
            <w:r>
              <w:rPr>
                <w:rFonts w:hint="eastAsia" w:ascii="宋体" w:hAnsi="宋体" w:cs="新宋体"/>
                <w:kern w:val="0"/>
                <w:sz w:val="24"/>
                <w:szCs w:val="24"/>
              </w:rPr>
              <w:t>本部</w:t>
            </w:r>
            <w:r>
              <w:rPr>
                <w:rFonts w:ascii="宋体" w:hAnsi="宋体" w:cs="新宋体"/>
                <w:kern w:val="0"/>
                <w:sz w:val="24"/>
                <w:szCs w:val="24"/>
              </w:rPr>
              <w:t>校</w:t>
            </w:r>
            <w:r>
              <w:rPr>
                <w:rFonts w:hint="eastAsia" w:ascii="宋体" w:hAnsi="宋体" w:cs="新宋体"/>
                <w:kern w:val="0"/>
                <w:sz w:val="24"/>
                <w:szCs w:val="24"/>
              </w:rPr>
              <w:t>园</w:t>
            </w:r>
            <w:r>
              <w:rPr>
                <w:rFonts w:ascii="宋体" w:hAnsi="宋体" w:cs="新宋体"/>
                <w:kern w:val="0"/>
                <w:sz w:val="24"/>
                <w:szCs w:val="24"/>
              </w:rPr>
              <w:t>内的灭鼠、灭蚊、灭蝇、灭蟑螂</w:t>
            </w:r>
            <w:r>
              <w:rPr>
                <w:rFonts w:hint="eastAsia" w:ascii="宋体" w:hAnsi="宋体" w:cs="新宋体"/>
                <w:kern w:val="0"/>
                <w:sz w:val="24"/>
                <w:szCs w:val="24"/>
              </w:rPr>
              <w:t>以及灭红火蚁等有害生物防治消杀</w:t>
            </w:r>
            <w:r>
              <w:rPr>
                <w:rFonts w:ascii="宋体" w:hAnsi="宋体" w:cs="新宋体"/>
                <w:kern w:val="0"/>
                <w:sz w:val="24"/>
                <w:szCs w:val="24"/>
              </w:rPr>
              <w:t>工作</w:t>
            </w:r>
          </w:p>
        </w:tc>
        <w:tc>
          <w:tcPr>
            <w:tcW w:w="1069"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1项</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新宋体"/>
                <w:kern w:val="0"/>
                <w:sz w:val="24"/>
                <w:szCs w:val="24"/>
              </w:rPr>
              <w:t>220000</w:t>
            </w:r>
          </w:p>
        </w:tc>
        <w:tc>
          <w:tcPr>
            <w:tcW w:w="1570"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新宋体"/>
                <w:kern w:val="0"/>
                <w:sz w:val="24"/>
                <w:szCs w:val="24"/>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72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合计(大写)：人民币贰拾贰万元整</w:t>
            </w:r>
          </w:p>
        </w:tc>
        <w:tc>
          <w:tcPr>
            <w:tcW w:w="41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w:t>
            </w:r>
            <w:r>
              <w:rPr>
                <w:rFonts w:hint="eastAsia" w:ascii="宋体" w:hAnsi="宋体" w:cs="新宋体"/>
                <w:kern w:val="0"/>
                <w:sz w:val="24"/>
              </w:rPr>
              <w:t>220000.00</w:t>
            </w:r>
          </w:p>
        </w:tc>
      </w:tr>
    </w:tbl>
    <w:p>
      <w:pPr>
        <w:pStyle w:val="19"/>
        <w:ind w:left="0" w:leftChars="0" w:firstLine="0" w:firstLineChars="0"/>
        <w:rPr>
          <w:rFonts w:ascii="宋体" w:hAnsi="宋体"/>
          <w:sz w:val="24"/>
          <w:szCs w:val="32"/>
        </w:rPr>
      </w:pPr>
    </w:p>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w:t>
      </w:r>
      <w:r>
        <w:rPr>
          <w:rFonts w:hint="eastAsia" w:ascii="宋体" w:hAnsi="宋体"/>
          <w:b/>
          <w:bCs/>
          <w:sz w:val="24"/>
          <w:szCs w:val="24"/>
        </w:rPr>
        <w:t>97</w:t>
      </w:r>
      <w:r>
        <w:rPr>
          <w:rFonts w:ascii="宋体" w:hAnsi="宋体"/>
          <w:b/>
          <w:bCs/>
          <w:sz w:val="24"/>
          <w:szCs w:val="24"/>
        </w:rPr>
        <w:t>%（不含）以上，报价单价不能超过竞价文件的单价最高限价，否则，视为无效报价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4"/>
        <w:spacing w:line="500" w:lineRule="exact"/>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w:t>
      </w:r>
      <w:r>
        <w:rPr>
          <w:rFonts w:hint="eastAsia" w:ascii="宋体" w:hAnsi="宋体" w:cs="宋体"/>
          <w:sz w:val="24"/>
        </w:rPr>
        <w:t>须提供2022年度经审计的财务报告或其基本开户银行出具的资信证明；</w:t>
      </w:r>
    </w:p>
    <w:p>
      <w:pPr>
        <w:spacing w:line="440" w:lineRule="exact"/>
        <w:ind w:firstLine="481"/>
        <w:rPr>
          <w:rFonts w:ascii="宋体" w:hAnsi="宋体"/>
          <w:sz w:val="24"/>
          <w:szCs w:val="24"/>
        </w:rPr>
      </w:pPr>
      <w:r>
        <w:rPr>
          <w:rFonts w:hint="eastAsia" w:ascii="宋体" w:hAnsi="宋体"/>
          <w:sz w:val="24"/>
          <w:szCs w:val="24"/>
        </w:rPr>
        <w:t>B、</w:t>
      </w:r>
      <w:r>
        <w:rPr>
          <w:rFonts w:hint="eastAsia" w:ascii="宋体" w:hAnsi="宋体" w:cs="宋体"/>
          <w:sz w:val="24"/>
        </w:rPr>
        <w:t>须提供报价截止时间前六个月内任一个月的缴税证明；</w:t>
      </w:r>
    </w:p>
    <w:p>
      <w:pPr>
        <w:spacing w:line="440" w:lineRule="exact"/>
        <w:ind w:firstLine="481"/>
        <w:rPr>
          <w:rFonts w:ascii="宋体" w:hAnsi="宋体"/>
          <w:sz w:val="24"/>
          <w:szCs w:val="24"/>
        </w:rPr>
      </w:pPr>
      <w:r>
        <w:rPr>
          <w:rFonts w:hint="eastAsia" w:ascii="宋体" w:hAnsi="宋体"/>
          <w:sz w:val="24"/>
          <w:szCs w:val="24"/>
        </w:rPr>
        <w:t>C、</w:t>
      </w:r>
      <w:r>
        <w:rPr>
          <w:rFonts w:hint="eastAsia" w:ascii="宋体" w:hAnsi="宋体" w:cs="宋体"/>
          <w:sz w:val="24"/>
        </w:rPr>
        <w:t>须提供报价截止时间前六个月内任一个月缴纳社会保险的证明材料</w:t>
      </w:r>
      <w:r>
        <w:rPr>
          <w:rFonts w:hint="eastAsia" w:ascii="宋体" w:hAnsi="宋体"/>
          <w:sz w:val="24"/>
          <w:szCs w:val="24"/>
        </w:rPr>
        <w:t>；</w:t>
      </w:r>
    </w:p>
    <w:p>
      <w:pPr>
        <w:spacing w:line="440" w:lineRule="exact"/>
        <w:rPr>
          <w:rFonts w:ascii="宋体" w:hAnsi="宋体"/>
          <w:sz w:val="24"/>
          <w:szCs w:val="24"/>
        </w:rPr>
      </w:pPr>
      <w:r>
        <w:rPr>
          <w:rFonts w:hint="eastAsia" w:ascii="宋体" w:hAnsi="宋体"/>
          <w:sz w:val="24"/>
          <w:szCs w:val="24"/>
        </w:rPr>
        <w:t>3、参加政府采购活动前3年内在经营活动中没有重大违法记录及无行贿犯罪的书面声明；</w:t>
      </w:r>
    </w:p>
    <w:p>
      <w:pPr>
        <w:spacing w:line="440" w:lineRule="exact"/>
        <w:rPr>
          <w:rFonts w:ascii="宋体" w:hAnsi="宋体"/>
          <w:sz w:val="24"/>
          <w:szCs w:val="24"/>
        </w:rPr>
      </w:pPr>
      <w:r>
        <w:rPr>
          <w:rFonts w:hint="eastAsia" w:ascii="宋体" w:hAnsi="宋体"/>
          <w:sz w:val="24"/>
          <w:szCs w:val="24"/>
        </w:rPr>
        <w:t>4、具备履行合同所必需的设备和专业技术能力的声明函；</w:t>
      </w:r>
    </w:p>
    <w:p>
      <w:pPr>
        <w:spacing w:line="440" w:lineRule="exact"/>
        <w:rPr>
          <w:rFonts w:ascii="宋体" w:hAnsi="宋体"/>
          <w:sz w:val="24"/>
          <w:szCs w:val="24"/>
        </w:rPr>
      </w:pPr>
      <w:r>
        <w:rPr>
          <w:rFonts w:hint="eastAsia" w:ascii="宋体" w:hAnsi="宋体"/>
          <w:sz w:val="24"/>
          <w:szCs w:val="24"/>
        </w:rPr>
        <w:t>5、如由授权代表参与竞价，须提供法定代表人授权书。</w:t>
      </w:r>
    </w:p>
    <w:p>
      <w:pPr>
        <w:spacing w:line="440" w:lineRule="exact"/>
        <w:rPr>
          <w:rFonts w:ascii="宋体" w:hAnsi="宋体"/>
          <w:sz w:val="24"/>
          <w:szCs w:val="24"/>
        </w:rPr>
      </w:pPr>
      <w:r>
        <w:rPr>
          <w:rFonts w:hint="eastAsia" w:ascii="宋体" w:hAnsi="宋体"/>
          <w:sz w:val="24"/>
          <w:szCs w:val="24"/>
        </w:rPr>
        <w:t>6、竞价人须提供“信用中国”网站（www.creditchina.gov.cn）及中国政府采购网（www.ccgp.gov.cn）信用信息查询无严重违法失信行为信息记录的打印件（或截图）。</w:t>
      </w:r>
    </w:p>
    <w:p>
      <w:pPr>
        <w:spacing w:line="440" w:lineRule="exact"/>
        <w:rPr>
          <w:rFonts w:hint="eastAsia" w:ascii="宋体" w:hAnsi="宋体"/>
          <w:b/>
          <w:bCs/>
          <w:sz w:val="24"/>
          <w:szCs w:val="24"/>
          <w:lang w:val="en-US" w:eastAsia="zh-CN"/>
        </w:rPr>
      </w:pPr>
      <w:r>
        <w:rPr>
          <w:rFonts w:hint="eastAsia" w:ascii="宋体" w:hAnsi="宋体"/>
          <w:b/>
          <w:bCs/>
          <w:sz w:val="24"/>
          <w:szCs w:val="24"/>
        </w:rPr>
        <w:t>7、特定资格要求（若有）：</w:t>
      </w:r>
      <w:r>
        <w:rPr>
          <w:rFonts w:hint="eastAsia" w:ascii="宋体" w:hAnsi="宋体"/>
          <w:b/>
          <w:bCs/>
          <w:sz w:val="24"/>
          <w:szCs w:val="24"/>
          <w:lang w:val="en-US" w:eastAsia="zh-CN"/>
        </w:rPr>
        <w:t>/</w:t>
      </w:r>
    </w:p>
    <w:p>
      <w:pPr>
        <w:spacing w:line="440" w:lineRule="exact"/>
        <w:rPr>
          <w:rFonts w:ascii="宋体" w:hAnsi="宋体"/>
          <w:sz w:val="24"/>
          <w:szCs w:val="24"/>
        </w:rPr>
      </w:pPr>
      <w:r>
        <w:rPr>
          <w:rFonts w:hint="eastAsia" w:ascii="宋体" w:hAnsi="宋体"/>
          <w:sz w:val="24"/>
          <w:szCs w:val="24"/>
        </w:rPr>
        <w:t>8、本项目不接受联合体竞价。</w:t>
      </w:r>
    </w:p>
    <w:p>
      <w:pPr>
        <w:spacing w:line="440" w:lineRule="exact"/>
        <w:rPr>
          <w:rFonts w:ascii="宋体" w:hAnsi="宋体"/>
          <w:sz w:val="24"/>
          <w:szCs w:val="24"/>
        </w:rPr>
      </w:pPr>
      <w:r>
        <w:rPr>
          <w:rFonts w:hint="eastAsia" w:ascii="宋体" w:hAnsi="宋体"/>
          <w:sz w:val="24"/>
          <w:szCs w:val="24"/>
        </w:rPr>
        <w:t>9、竞价保证金凭证复印件。</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numPr>
          <w:ilvl w:val="0"/>
          <w:numId w:val="1"/>
        </w:numPr>
        <w:spacing w:line="440" w:lineRule="exact"/>
        <w:ind w:firstLine="481"/>
        <w:rPr>
          <w:rFonts w:ascii="宋体" w:hAnsi="宋体"/>
          <w:b/>
          <w:bCs/>
          <w:sz w:val="24"/>
          <w:szCs w:val="24"/>
        </w:rPr>
      </w:pPr>
      <w:r>
        <w:rPr>
          <w:rFonts w:hint="eastAsia" w:ascii="宋体" w:hAnsi="宋体"/>
          <w:b/>
          <w:bCs/>
          <w:sz w:val="24"/>
          <w:szCs w:val="24"/>
        </w:rPr>
        <w:t>技术和服务要求</w:t>
      </w:r>
    </w:p>
    <w:p>
      <w:pPr>
        <w:spacing w:line="440" w:lineRule="exact"/>
        <w:ind w:firstLine="480" w:firstLineChars="200"/>
        <w:rPr>
          <w:rFonts w:ascii="宋体" w:hAnsi="宋体"/>
          <w:sz w:val="24"/>
          <w:szCs w:val="24"/>
        </w:rPr>
      </w:pPr>
      <w:r>
        <w:rPr>
          <w:rFonts w:hint="eastAsia" w:ascii="宋体" w:hAnsi="宋体"/>
          <w:sz w:val="24"/>
        </w:rPr>
        <w:t>本次采购项目为福建农林大学（金山校区）有害生物防治消杀服务项目。服务期自2023年12月</w:t>
      </w:r>
      <w:r>
        <w:rPr>
          <w:rFonts w:ascii="宋体" w:hAnsi="宋体"/>
          <w:sz w:val="24"/>
        </w:rPr>
        <w:t>—</w:t>
      </w:r>
      <w:r>
        <w:rPr>
          <w:rFonts w:hint="eastAsia" w:ascii="宋体" w:hAnsi="宋体"/>
          <w:sz w:val="24"/>
        </w:rPr>
        <w:t>2025年9月（共计22个月）。</w:t>
      </w:r>
    </w:p>
    <w:p>
      <w:pPr>
        <w:spacing w:line="440" w:lineRule="exact"/>
        <w:ind w:firstLine="480" w:firstLineChars="200"/>
        <w:rPr>
          <w:rFonts w:ascii="宋体" w:hAnsi="宋体"/>
          <w:sz w:val="24"/>
          <w:szCs w:val="24"/>
        </w:rPr>
      </w:pPr>
      <w:r>
        <w:rPr>
          <w:rFonts w:hint="eastAsia" w:ascii="宋体" w:hAnsi="宋体"/>
          <w:sz w:val="24"/>
          <w:szCs w:val="24"/>
        </w:rPr>
        <w:t>1、服务范围：福建农林大学本部校园内的灭鼠、灭蚊、灭蝇、灭蟑螂以及灭红火蚁等有害生物防治消杀工作（通称“有害生物防治消杀服务”）。灭鼠、灭蟑螂重点区域见附表，但不仅限于所列区域，遇有重大鼠蟑、蚊虫疫情时，按采购人需要进行消杀。</w:t>
      </w:r>
    </w:p>
    <w:p>
      <w:pPr>
        <w:spacing w:line="440" w:lineRule="exact"/>
        <w:ind w:firstLine="477" w:firstLineChars="198"/>
        <w:rPr>
          <w:rFonts w:ascii="宋体" w:hAnsi="宋体"/>
          <w:color w:val="000000"/>
          <w:sz w:val="24"/>
        </w:rPr>
      </w:pPr>
      <w:r>
        <w:rPr>
          <w:rFonts w:hint="eastAsia" w:ascii="宋体" w:hAnsi="宋体"/>
          <w:b/>
          <w:sz w:val="24"/>
        </w:rPr>
        <w:t>2.1</w:t>
      </w:r>
      <w:r>
        <w:rPr>
          <w:rFonts w:ascii="宋体" w:hAnsi="宋体"/>
          <w:b/>
          <w:sz w:val="24"/>
        </w:rPr>
        <w:t>灭</w:t>
      </w:r>
      <w:r>
        <w:rPr>
          <w:rFonts w:hint="eastAsia" w:ascii="宋体" w:hAnsi="宋体"/>
          <w:b/>
          <w:sz w:val="24"/>
        </w:rPr>
        <w:t>鼠：</w:t>
      </w:r>
    </w:p>
    <w:p>
      <w:pPr>
        <w:spacing w:line="440" w:lineRule="exact"/>
        <w:ind w:firstLine="480" w:firstLineChars="200"/>
        <w:rPr>
          <w:rFonts w:ascii="宋体" w:hAnsi="宋体"/>
          <w:sz w:val="24"/>
        </w:rPr>
      </w:pPr>
      <w:r>
        <w:rPr>
          <w:rFonts w:hint="eastAsia" w:ascii="宋体" w:hAnsi="宋体"/>
          <w:sz w:val="24"/>
        </w:rPr>
        <w:t>2.1.1</w:t>
      </w:r>
      <w:r>
        <w:rPr>
          <w:rFonts w:ascii="宋体" w:hAnsi="宋体"/>
          <w:sz w:val="24"/>
        </w:rPr>
        <w:t>每个月全面饱和投放毒饵</w:t>
      </w:r>
      <w:r>
        <w:rPr>
          <w:rFonts w:hint="eastAsia" w:ascii="宋体" w:hAnsi="宋体"/>
          <w:sz w:val="24"/>
        </w:rPr>
        <w:t>2</w:t>
      </w:r>
      <w:r>
        <w:rPr>
          <w:rFonts w:ascii="宋体" w:hAnsi="宋体"/>
          <w:sz w:val="24"/>
        </w:rPr>
        <w:t>次。</w:t>
      </w:r>
    </w:p>
    <w:p>
      <w:pPr>
        <w:spacing w:line="440" w:lineRule="exact"/>
        <w:ind w:firstLine="480" w:firstLineChars="200"/>
        <w:rPr>
          <w:rFonts w:ascii="宋体" w:hAnsi="宋体"/>
          <w:sz w:val="24"/>
        </w:rPr>
      </w:pPr>
      <w:r>
        <w:rPr>
          <w:rFonts w:hint="eastAsia" w:ascii="宋体" w:hAnsi="宋体"/>
          <w:sz w:val="24"/>
        </w:rPr>
        <w:t>2.1.2</w:t>
      </w:r>
      <w:r>
        <w:rPr>
          <w:rFonts w:ascii="宋体" w:hAnsi="宋体"/>
          <w:sz w:val="24"/>
        </w:rPr>
        <w:t>每月检查鼠迹不少于</w:t>
      </w:r>
      <w:r>
        <w:rPr>
          <w:rFonts w:hint="eastAsia" w:ascii="宋体" w:hAnsi="宋体"/>
          <w:sz w:val="24"/>
        </w:rPr>
        <w:t>1</w:t>
      </w:r>
      <w:r>
        <w:rPr>
          <w:rFonts w:ascii="宋体" w:hAnsi="宋体"/>
          <w:sz w:val="24"/>
        </w:rPr>
        <w:t>次，发现鼠迹立即清理并及时补充投放毒饵；并确保安全用药。</w:t>
      </w:r>
    </w:p>
    <w:p>
      <w:pPr>
        <w:spacing w:line="440" w:lineRule="exact"/>
        <w:ind w:firstLine="480" w:firstLineChars="200"/>
        <w:rPr>
          <w:rFonts w:ascii="宋体" w:hAnsi="宋体"/>
          <w:sz w:val="24"/>
        </w:rPr>
      </w:pPr>
      <w:r>
        <w:rPr>
          <w:rFonts w:hint="eastAsia" w:ascii="宋体" w:hAnsi="宋体"/>
          <w:sz w:val="24"/>
        </w:rPr>
        <w:t>2.1.3</w:t>
      </w:r>
      <w:r>
        <w:rPr>
          <w:rFonts w:ascii="宋体" w:hAnsi="宋体"/>
          <w:sz w:val="24"/>
        </w:rPr>
        <w:t>复杂</w:t>
      </w:r>
      <w:r>
        <w:rPr>
          <w:rFonts w:hint="eastAsia" w:ascii="宋体" w:hAnsi="宋体"/>
          <w:sz w:val="24"/>
        </w:rPr>
        <w:t>和重点</w:t>
      </w:r>
      <w:r>
        <w:rPr>
          <w:rFonts w:ascii="宋体" w:hAnsi="宋体"/>
          <w:sz w:val="24"/>
        </w:rPr>
        <w:t>环境附近（食堂下水管道</w:t>
      </w:r>
      <w:r>
        <w:rPr>
          <w:rFonts w:hint="eastAsia" w:ascii="宋体" w:hAnsi="宋体"/>
          <w:sz w:val="24"/>
        </w:rPr>
        <w:t>、垃圾存放点、办公楼及宿舍周边等</w:t>
      </w:r>
      <w:r>
        <w:rPr>
          <w:rFonts w:ascii="宋体" w:hAnsi="宋体"/>
          <w:sz w:val="24"/>
        </w:rPr>
        <w:t>)长期保持有药量。</w:t>
      </w:r>
    </w:p>
    <w:p>
      <w:pPr>
        <w:spacing w:line="440" w:lineRule="exact"/>
        <w:ind w:firstLine="480" w:firstLineChars="200"/>
        <w:rPr>
          <w:rFonts w:ascii="宋体" w:hAnsi="宋体"/>
          <w:sz w:val="24"/>
        </w:rPr>
      </w:pPr>
      <w:r>
        <w:rPr>
          <w:rFonts w:hint="eastAsia" w:ascii="宋体" w:hAnsi="宋体"/>
          <w:sz w:val="24"/>
        </w:rPr>
        <w:t>2.1.4 及时巡查和安全清理死鼠，不让死老鼠腐臭和污染环境。</w:t>
      </w:r>
    </w:p>
    <w:p>
      <w:pPr>
        <w:spacing w:line="440" w:lineRule="exact"/>
        <w:ind w:firstLine="480" w:firstLineChars="200"/>
        <w:rPr>
          <w:rFonts w:ascii="宋体" w:hAnsi="宋体"/>
          <w:sz w:val="24"/>
        </w:rPr>
      </w:pPr>
      <w:r>
        <w:rPr>
          <w:rFonts w:hint="eastAsia" w:ascii="宋体" w:hAnsi="宋体"/>
          <w:sz w:val="24"/>
        </w:rPr>
        <w:t>2.1.5 布放干预性鼠盒，布控点见“灭鼠灭蟑重点消杀区域表</w:t>
      </w:r>
      <w:r>
        <w:rPr>
          <w:rFonts w:hint="eastAsia" w:ascii="宋体"/>
          <w:sz w:val="24"/>
          <w:shd w:val="clear" w:color="auto" w:fill="FFFFFF"/>
        </w:rPr>
        <w:t>”</w:t>
      </w:r>
      <w:r>
        <w:rPr>
          <w:rFonts w:hint="eastAsia" w:ascii="宋体" w:hAnsi="宋体"/>
          <w:sz w:val="24"/>
        </w:rPr>
        <w:t>。</w:t>
      </w:r>
    </w:p>
    <w:p>
      <w:pPr>
        <w:spacing w:line="440" w:lineRule="exact"/>
        <w:ind w:firstLine="482" w:firstLineChars="200"/>
        <w:rPr>
          <w:rFonts w:ascii="宋体" w:hAnsi="宋体"/>
          <w:b/>
          <w:sz w:val="24"/>
        </w:rPr>
      </w:pPr>
      <w:r>
        <w:rPr>
          <w:rFonts w:hint="eastAsia" w:ascii="宋体" w:hAnsi="宋体"/>
          <w:b/>
          <w:sz w:val="24"/>
        </w:rPr>
        <w:t>2.2</w:t>
      </w:r>
      <w:r>
        <w:rPr>
          <w:rFonts w:ascii="宋体" w:hAnsi="宋体"/>
          <w:b/>
          <w:sz w:val="24"/>
        </w:rPr>
        <w:t xml:space="preserve"> 灭蚊</w:t>
      </w:r>
      <w:r>
        <w:rPr>
          <w:rFonts w:hint="eastAsia" w:ascii="宋体" w:hAnsi="宋体"/>
          <w:b/>
          <w:sz w:val="24"/>
        </w:rPr>
        <w:t>：</w:t>
      </w:r>
    </w:p>
    <w:p>
      <w:pPr>
        <w:spacing w:line="440" w:lineRule="exact"/>
        <w:ind w:firstLine="480" w:firstLineChars="200"/>
        <w:rPr>
          <w:rFonts w:ascii="宋体" w:hAnsi="宋体"/>
          <w:sz w:val="24"/>
        </w:rPr>
      </w:pPr>
      <w:r>
        <w:rPr>
          <w:rFonts w:hint="eastAsia" w:ascii="宋体" w:hAnsi="宋体"/>
          <w:sz w:val="24"/>
        </w:rPr>
        <w:t>2.2.1</w:t>
      </w:r>
      <w:r>
        <w:rPr>
          <w:rFonts w:ascii="宋体" w:hAnsi="宋体"/>
          <w:sz w:val="24"/>
        </w:rPr>
        <w:t>大、中型水体</w:t>
      </w:r>
      <w:r>
        <w:rPr>
          <w:rFonts w:hint="eastAsia" w:ascii="宋体" w:hAnsi="宋体"/>
          <w:sz w:val="24"/>
        </w:rPr>
        <w:t>两周</w:t>
      </w:r>
      <w:r>
        <w:rPr>
          <w:rFonts w:ascii="宋体" w:hAnsi="宋体"/>
          <w:sz w:val="24"/>
        </w:rPr>
        <w:t>检查</w:t>
      </w:r>
      <w:r>
        <w:rPr>
          <w:rFonts w:hint="eastAsia" w:ascii="宋体" w:hAnsi="宋体"/>
          <w:sz w:val="24"/>
        </w:rPr>
        <w:t>1</w:t>
      </w:r>
      <w:r>
        <w:rPr>
          <w:rFonts w:ascii="宋体" w:hAnsi="宋体"/>
          <w:sz w:val="24"/>
        </w:rPr>
        <w:t>次，</w:t>
      </w:r>
      <w:r>
        <w:rPr>
          <w:rFonts w:hint="eastAsia" w:ascii="宋体" w:hAnsi="宋体"/>
          <w:sz w:val="24"/>
        </w:rPr>
        <w:t>4-10月份至少每两周</w:t>
      </w:r>
      <w:r>
        <w:rPr>
          <w:rFonts w:ascii="宋体" w:hAnsi="宋体"/>
          <w:sz w:val="24"/>
        </w:rPr>
        <w:t>投药</w:t>
      </w:r>
      <w:r>
        <w:rPr>
          <w:rFonts w:hint="eastAsia" w:ascii="宋体" w:hAnsi="宋体"/>
          <w:sz w:val="24"/>
        </w:rPr>
        <w:t>1次，</w:t>
      </w:r>
      <w:r>
        <w:rPr>
          <w:rFonts w:ascii="宋体" w:hAnsi="宋体"/>
          <w:sz w:val="24"/>
        </w:rPr>
        <w:t>以控制和预防幼虫孳生。</w:t>
      </w:r>
    </w:p>
    <w:p>
      <w:pPr>
        <w:spacing w:line="440" w:lineRule="exact"/>
        <w:ind w:firstLine="480" w:firstLineChars="200"/>
        <w:rPr>
          <w:rFonts w:ascii="宋体" w:hAnsi="宋体"/>
          <w:sz w:val="24"/>
        </w:rPr>
      </w:pPr>
      <w:r>
        <w:rPr>
          <w:rFonts w:hint="eastAsia" w:ascii="宋体" w:hAnsi="宋体"/>
          <w:sz w:val="24"/>
        </w:rPr>
        <w:t>2.2.2外环境</w:t>
      </w:r>
      <w:r>
        <w:rPr>
          <w:rFonts w:ascii="宋体" w:hAnsi="宋体"/>
          <w:sz w:val="24"/>
        </w:rPr>
        <w:t>下水道入水口</w:t>
      </w:r>
      <w:r>
        <w:rPr>
          <w:rFonts w:hint="eastAsia" w:ascii="宋体" w:hAnsi="宋体"/>
          <w:sz w:val="24"/>
        </w:rPr>
        <w:t>、</w:t>
      </w:r>
      <w:r>
        <w:rPr>
          <w:rFonts w:ascii="宋体" w:hAnsi="宋体"/>
          <w:sz w:val="24"/>
        </w:rPr>
        <w:t>管道井</w:t>
      </w:r>
      <w:r>
        <w:rPr>
          <w:rFonts w:hint="eastAsia" w:ascii="宋体" w:hAnsi="宋体"/>
          <w:sz w:val="24"/>
        </w:rPr>
        <w:t>及积水点，4-10月份</w:t>
      </w:r>
      <w:r>
        <w:rPr>
          <w:rFonts w:ascii="宋体" w:hAnsi="宋体"/>
          <w:sz w:val="24"/>
        </w:rPr>
        <w:t>每</w:t>
      </w:r>
      <w:r>
        <w:rPr>
          <w:rFonts w:hint="eastAsia" w:ascii="宋体" w:hAnsi="宋体"/>
          <w:sz w:val="24"/>
        </w:rPr>
        <w:t>两周1次</w:t>
      </w:r>
      <w:r>
        <w:rPr>
          <w:rFonts w:ascii="宋体" w:hAnsi="宋体"/>
          <w:sz w:val="24"/>
        </w:rPr>
        <w:t>井口吊挂灭幼蚊缓释剂，控制蚊幼虫孳生。</w:t>
      </w:r>
    </w:p>
    <w:p>
      <w:pPr>
        <w:spacing w:line="440" w:lineRule="exact"/>
        <w:ind w:firstLine="480" w:firstLineChars="200"/>
        <w:rPr>
          <w:rFonts w:ascii="宋体" w:hAnsi="宋体"/>
          <w:sz w:val="24"/>
        </w:rPr>
      </w:pPr>
      <w:r>
        <w:rPr>
          <w:rFonts w:hint="eastAsia" w:ascii="宋体" w:hAnsi="宋体"/>
          <w:sz w:val="24"/>
        </w:rPr>
        <w:t>2.2.3 4</w:t>
      </w:r>
      <w:r>
        <w:rPr>
          <w:rFonts w:ascii="宋体" w:hAnsi="宋体"/>
          <w:sz w:val="24"/>
        </w:rPr>
        <w:t>-1</w:t>
      </w:r>
      <w:r>
        <w:rPr>
          <w:rFonts w:hint="eastAsia" w:ascii="宋体" w:hAnsi="宋体"/>
          <w:sz w:val="24"/>
        </w:rPr>
        <w:t>0</w:t>
      </w:r>
      <w:r>
        <w:rPr>
          <w:rFonts w:ascii="宋体" w:hAnsi="宋体"/>
          <w:sz w:val="24"/>
        </w:rPr>
        <w:t>月</w:t>
      </w:r>
      <w:r>
        <w:rPr>
          <w:rFonts w:hint="eastAsia" w:ascii="宋体" w:hAnsi="宋体"/>
          <w:sz w:val="24"/>
        </w:rPr>
        <w:t>份</w:t>
      </w:r>
      <w:r>
        <w:rPr>
          <w:rFonts w:ascii="宋体" w:hAnsi="宋体"/>
          <w:sz w:val="24"/>
        </w:rPr>
        <w:t>每月</w:t>
      </w:r>
      <w:r>
        <w:rPr>
          <w:rFonts w:hint="eastAsia" w:ascii="宋体" w:hAnsi="宋体"/>
          <w:sz w:val="24"/>
        </w:rPr>
        <w:t>至少</w:t>
      </w:r>
      <w:r>
        <w:rPr>
          <w:rFonts w:ascii="宋体" w:hAnsi="宋体"/>
          <w:sz w:val="24"/>
        </w:rPr>
        <w:t>做</w:t>
      </w:r>
      <w:r>
        <w:rPr>
          <w:rFonts w:hint="eastAsia" w:ascii="宋体" w:hAnsi="宋体"/>
          <w:sz w:val="24"/>
        </w:rPr>
        <w:t>1</w:t>
      </w:r>
      <w:r>
        <w:rPr>
          <w:rFonts w:ascii="宋体" w:hAnsi="宋体"/>
          <w:sz w:val="24"/>
        </w:rPr>
        <w:t>次药物喷洒</w:t>
      </w:r>
      <w:r>
        <w:rPr>
          <w:rFonts w:hint="eastAsia" w:ascii="宋体" w:hAnsi="宋体"/>
          <w:sz w:val="24"/>
        </w:rPr>
        <w:t>、烟熏</w:t>
      </w:r>
      <w:r>
        <w:rPr>
          <w:rFonts w:ascii="宋体" w:hAnsi="宋体"/>
          <w:sz w:val="24"/>
        </w:rPr>
        <w:t>灭成蚊。</w:t>
      </w:r>
    </w:p>
    <w:p>
      <w:pPr>
        <w:spacing w:line="440" w:lineRule="exact"/>
        <w:ind w:firstLine="480" w:firstLineChars="200"/>
        <w:rPr>
          <w:rFonts w:ascii="宋体" w:hAnsi="宋体"/>
          <w:sz w:val="24"/>
        </w:rPr>
      </w:pPr>
      <w:r>
        <w:rPr>
          <w:rFonts w:hint="eastAsia" w:ascii="宋体" w:hAnsi="宋体"/>
          <w:sz w:val="24"/>
        </w:rPr>
        <w:t>2.2.4 除4</w:t>
      </w:r>
      <w:r>
        <w:rPr>
          <w:rFonts w:ascii="宋体" w:hAnsi="宋体"/>
          <w:sz w:val="24"/>
        </w:rPr>
        <w:t>-1</w:t>
      </w:r>
      <w:r>
        <w:rPr>
          <w:rFonts w:hint="eastAsia" w:ascii="宋体" w:hAnsi="宋体"/>
          <w:sz w:val="24"/>
        </w:rPr>
        <w:t>0</w:t>
      </w:r>
      <w:r>
        <w:rPr>
          <w:rFonts w:ascii="宋体" w:hAnsi="宋体"/>
          <w:sz w:val="24"/>
        </w:rPr>
        <w:t>月份</w:t>
      </w:r>
      <w:r>
        <w:rPr>
          <w:rFonts w:hint="eastAsia" w:ascii="宋体" w:hAnsi="宋体"/>
          <w:sz w:val="24"/>
        </w:rPr>
        <w:t>的其余月份根据蚊子繁衍情况进行消杀。</w:t>
      </w:r>
    </w:p>
    <w:p>
      <w:pPr>
        <w:spacing w:line="440" w:lineRule="exact"/>
        <w:ind w:firstLine="482" w:firstLineChars="200"/>
        <w:rPr>
          <w:rFonts w:ascii="宋体" w:hAnsi="宋体"/>
          <w:b/>
          <w:sz w:val="24"/>
        </w:rPr>
      </w:pPr>
      <w:r>
        <w:rPr>
          <w:rFonts w:hint="eastAsia" w:ascii="宋体" w:hAnsi="宋体"/>
          <w:b/>
          <w:sz w:val="24"/>
        </w:rPr>
        <w:t>2.3</w:t>
      </w:r>
      <w:r>
        <w:rPr>
          <w:rFonts w:ascii="宋体" w:hAnsi="宋体"/>
          <w:b/>
          <w:sz w:val="24"/>
        </w:rPr>
        <w:t>灭蝇：</w:t>
      </w:r>
    </w:p>
    <w:p>
      <w:pPr>
        <w:spacing w:line="440" w:lineRule="exact"/>
        <w:ind w:firstLine="424" w:firstLineChars="177"/>
        <w:rPr>
          <w:rFonts w:ascii="宋体" w:hAnsi="宋体"/>
          <w:sz w:val="24"/>
        </w:rPr>
      </w:pPr>
      <w:r>
        <w:rPr>
          <w:rFonts w:hint="eastAsia" w:ascii="宋体" w:hAnsi="宋体"/>
          <w:sz w:val="24"/>
        </w:rPr>
        <w:t>2.3.1</w:t>
      </w:r>
      <w:r>
        <w:rPr>
          <w:rFonts w:ascii="宋体" w:hAnsi="宋体"/>
          <w:sz w:val="24"/>
        </w:rPr>
        <w:t>半明渠和卫生死角，每月喷药灭蛆、灭成蝇</w:t>
      </w:r>
      <w:r>
        <w:rPr>
          <w:rFonts w:hint="eastAsia" w:ascii="宋体" w:hAnsi="宋体"/>
          <w:sz w:val="24"/>
        </w:rPr>
        <w:t>2</w:t>
      </w:r>
      <w:r>
        <w:rPr>
          <w:rFonts w:ascii="宋体" w:hAnsi="宋体"/>
          <w:sz w:val="24"/>
        </w:rPr>
        <w:t>次。</w:t>
      </w:r>
    </w:p>
    <w:p>
      <w:pPr>
        <w:spacing w:line="440" w:lineRule="exact"/>
        <w:ind w:firstLine="424" w:firstLineChars="177"/>
        <w:rPr>
          <w:rFonts w:ascii="宋体" w:hAnsi="宋体"/>
          <w:sz w:val="24"/>
        </w:rPr>
      </w:pPr>
      <w:r>
        <w:rPr>
          <w:rFonts w:hint="eastAsia" w:ascii="宋体" w:hAnsi="宋体"/>
          <w:sz w:val="24"/>
        </w:rPr>
        <w:t>2.3.2</w:t>
      </w:r>
      <w:r>
        <w:rPr>
          <w:rFonts w:ascii="宋体" w:hAnsi="宋体"/>
          <w:sz w:val="24"/>
        </w:rPr>
        <w:t>孳生地检查处理：</w:t>
      </w:r>
      <w:r>
        <w:rPr>
          <w:rFonts w:hint="eastAsia" w:ascii="宋体" w:hAnsi="宋体"/>
          <w:sz w:val="24"/>
        </w:rPr>
        <w:t>每年4-10月份每两个月</w:t>
      </w:r>
      <w:r>
        <w:rPr>
          <w:rFonts w:ascii="宋体" w:hAnsi="宋体"/>
          <w:sz w:val="24"/>
        </w:rPr>
        <w:t>检查处理（喷药）</w:t>
      </w:r>
      <w:r>
        <w:rPr>
          <w:rFonts w:hint="eastAsia" w:ascii="宋体" w:hAnsi="宋体"/>
          <w:sz w:val="24"/>
        </w:rPr>
        <w:t>2</w:t>
      </w:r>
      <w:r>
        <w:rPr>
          <w:rFonts w:ascii="宋体" w:hAnsi="宋体"/>
          <w:sz w:val="24"/>
        </w:rPr>
        <w:t>次。</w:t>
      </w:r>
    </w:p>
    <w:p>
      <w:pPr>
        <w:spacing w:line="440" w:lineRule="exact"/>
        <w:ind w:firstLine="424" w:firstLineChars="177"/>
        <w:rPr>
          <w:rFonts w:ascii="宋体" w:hAnsi="宋体"/>
          <w:sz w:val="24"/>
        </w:rPr>
      </w:pPr>
      <w:r>
        <w:rPr>
          <w:rFonts w:hint="eastAsia" w:ascii="宋体" w:hAnsi="宋体"/>
          <w:sz w:val="24"/>
        </w:rPr>
        <w:t>2.3.3</w:t>
      </w:r>
      <w:r>
        <w:rPr>
          <w:rFonts w:ascii="宋体" w:hAnsi="宋体"/>
          <w:sz w:val="24"/>
        </w:rPr>
        <w:t>成蝇密度监测（目测）：每</w:t>
      </w:r>
      <w:r>
        <w:rPr>
          <w:rFonts w:hint="eastAsia" w:ascii="宋体" w:hAnsi="宋体"/>
          <w:sz w:val="24"/>
        </w:rPr>
        <w:t>月1</w:t>
      </w:r>
      <w:r>
        <w:rPr>
          <w:rFonts w:ascii="宋体" w:hAnsi="宋体"/>
          <w:sz w:val="24"/>
        </w:rPr>
        <w:t>次处理（喷药）。</w:t>
      </w:r>
    </w:p>
    <w:p>
      <w:pPr>
        <w:spacing w:line="440" w:lineRule="exact"/>
        <w:ind w:firstLine="477" w:firstLineChars="198"/>
        <w:rPr>
          <w:rFonts w:ascii="宋体" w:hAnsi="宋体"/>
          <w:b/>
          <w:sz w:val="24"/>
        </w:rPr>
      </w:pPr>
      <w:r>
        <w:rPr>
          <w:rFonts w:hint="eastAsia" w:ascii="宋体" w:hAnsi="宋体"/>
          <w:b/>
          <w:sz w:val="24"/>
        </w:rPr>
        <w:t>2.4</w:t>
      </w:r>
      <w:r>
        <w:rPr>
          <w:rFonts w:ascii="宋体" w:hAnsi="宋体"/>
          <w:b/>
          <w:sz w:val="24"/>
        </w:rPr>
        <w:t>灭蟑螂</w:t>
      </w:r>
      <w:r>
        <w:rPr>
          <w:rFonts w:hint="eastAsia" w:ascii="宋体" w:hAnsi="宋体"/>
          <w:b/>
          <w:sz w:val="24"/>
        </w:rPr>
        <w:t>：</w:t>
      </w:r>
    </w:p>
    <w:p>
      <w:pPr>
        <w:spacing w:line="440" w:lineRule="exact"/>
        <w:ind w:firstLine="424" w:firstLineChars="177"/>
        <w:rPr>
          <w:rFonts w:ascii="宋体" w:hAnsi="宋体"/>
          <w:sz w:val="24"/>
        </w:rPr>
      </w:pPr>
      <w:r>
        <w:rPr>
          <w:rFonts w:hint="eastAsia" w:ascii="宋体" w:hAnsi="宋体"/>
          <w:sz w:val="24"/>
        </w:rPr>
        <w:t>2.4.1外</w:t>
      </w:r>
      <w:r>
        <w:rPr>
          <w:rFonts w:ascii="宋体" w:hAnsi="宋体"/>
          <w:sz w:val="24"/>
        </w:rPr>
        <w:t>环境灭蟑螂：每年</w:t>
      </w:r>
      <w:r>
        <w:rPr>
          <w:rFonts w:hint="eastAsia" w:ascii="宋体" w:hAnsi="宋体"/>
          <w:sz w:val="24"/>
        </w:rPr>
        <w:t>4月和10月分别</w:t>
      </w:r>
      <w:r>
        <w:rPr>
          <w:rFonts w:ascii="宋体" w:hAnsi="宋体"/>
          <w:sz w:val="24"/>
        </w:rPr>
        <w:t>对下水道热烟雾处理</w:t>
      </w:r>
      <w:r>
        <w:rPr>
          <w:rFonts w:hint="eastAsia" w:ascii="宋体" w:hAnsi="宋体"/>
          <w:sz w:val="24"/>
        </w:rPr>
        <w:t>2</w:t>
      </w:r>
      <w:r>
        <w:rPr>
          <w:rFonts w:ascii="宋体" w:hAnsi="宋体"/>
          <w:sz w:val="24"/>
        </w:rPr>
        <w:t>次，并滞留喷洒，重点地段每</w:t>
      </w:r>
      <w:r>
        <w:rPr>
          <w:rFonts w:hint="eastAsia" w:ascii="宋体" w:hAnsi="宋体"/>
          <w:sz w:val="24"/>
        </w:rPr>
        <w:t>两个月1</w:t>
      </w:r>
      <w:r>
        <w:rPr>
          <w:rFonts w:ascii="宋体" w:hAnsi="宋体"/>
          <w:sz w:val="24"/>
        </w:rPr>
        <w:t>次。</w:t>
      </w:r>
    </w:p>
    <w:p>
      <w:pPr>
        <w:spacing w:line="440" w:lineRule="exact"/>
        <w:ind w:firstLine="424" w:firstLineChars="177"/>
        <w:rPr>
          <w:rFonts w:ascii="宋体" w:hAnsi="宋体"/>
          <w:sz w:val="24"/>
        </w:rPr>
      </w:pPr>
      <w:r>
        <w:rPr>
          <w:rFonts w:hint="eastAsia" w:ascii="宋体" w:hAnsi="宋体"/>
          <w:sz w:val="24"/>
        </w:rPr>
        <w:t xml:space="preserve">2.4.2 </w:t>
      </w:r>
      <w:r>
        <w:rPr>
          <w:rFonts w:ascii="宋体" w:hAnsi="宋体"/>
          <w:sz w:val="24"/>
        </w:rPr>
        <w:t>结合灭</w:t>
      </w:r>
      <w:r>
        <w:rPr>
          <w:rFonts w:hint="eastAsia" w:ascii="宋体" w:hAnsi="宋体"/>
          <w:sz w:val="24"/>
        </w:rPr>
        <w:t>位置特点</w:t>
      </w:r>
      <w:r>
        <w:rPr>
          <w:rFonts w:ascii="宋体" w:hAnsi="宋体"/>
          <w:sz w:val="24"/>
        </w:rPr>
        <w:t>，针对性地对积水、死角等进行滞留喷洒灭蟑，并投放灭蟑毒饵，每季</w:t>
      </w:r>
      <w:r>
        <w:rPr>
          <w:rFonts w:hint="eastAsia" w:ascii="宋体" w:hAnsi="宋体"/>
          <w:sz w:val="24"/>
        </w:rPr>
        <w:t>1</w:t>
      </w:r>
      <w:r>
        <w:rPr>
          <w:rFonts w:ascii="宋体" w:hAnsi="宋体"/>
          <w:sz w:val="24"/>
        </w:rPr>
        <w:t>次。</w:t>
      </w:r>
    </w:p>
    <w:p>
      <w:pPr>
        <w:spacing w:line="440" w:lineRule="exact"/>
        <w:ind w:firstLine="424" w:firstLineChars="177"/>
        <w:rPr>
          <w:rFonts w:ascii="宋体" w:hAnsi="宋体"/>
          <w:sz w:val="24"/>
        </w:rPr>
      </w:pPr>
      <w:r>
        <w:rPr>
          <w:rFonts w:hint="eastAsia" w:ascii="宋体" w:hAnsi="宋体"/>
          <w:sz w:val="24"/>
        </w:rPr>
        <w:t>2.4.3</w:t>
      </w:r>
      <w:r>
        <w:rPr>
          <w:rFonts w:ascii="宋体" w:hAnsi="宋体"/>
          <w:sz w:val="24"/>
        </w:rPr>
        <w:t>蟑螂密度监测：每季度</w:t>
      </w:r>
      <w:r>
        <w:rPr>
          <w:rFonts w:hint="eastAsia" w:ascii="宋体" w:hAnsi="宋体"/>
          <w:sz w:val="24"/>
        </w:rPr>
        <w:t>1</w:t>
      </w:r>
      <w:r>
        <w:rPr>
          <w:rFonts w:ascii="宋体" w:hAnsi="宋体"/>
          <w:sz w:val="24"/>
        </w:rPr>
        <w:t>次。</w:t>
      </w:r>
    </w:p>
    <w:p>
      <w:pPr>
        <w:spacing w:line="440" w:lineRule="exact"/>
        <w:ind w:firstLine="426" w:firstLineChars="177"/>
        <w:rPr>
          <w:rFonts w:ascii="宋体" w:hAnsi="宋体"/>
          <w:b/>
          <w:sz w:val="24"/>
        </w:rPr>
      </w:pPr>
      <w:r>
        <w:rPr>
          <w:rFonts w:hint="eastAsia" w:ascii="宋体" w:hAnsi="宋体"/>
          <w:b/>
          <w:sz w:val="24"/>
        </w:rPr>
        <w:t>2.5红火蚁</w:t>
      </w:r>
    </w:p>
    <w:p>
      <w:pPr>
        <w:spacing w:line="440" w:lineRule="exact"/>
        <w:ind w:firstLine="424" w:firstLineChars="177"/>
        <w:rPr>
          <w:rFonts w:ascii="宋体" w:hAnsi="宋体"/>
          <w:bCs/>
          <w:sz w:val="24"/>
        </w:rPr>
      </w:pPr>
      <w:r>
        <w:rPr>
          <w:rFonts w:hint="eastAsia" w:ascii="宋体" w:hAnsi="宋体"/>
          <w:bCs/>
          <w:sz w:val="24"/>
        </w:rPr>
        <w:t>2.5.1防治区域：对金山校区内校园绿地的红火蚁疫情进行防治，重点区域为中华名特优植物园、西大门三环边绿化地、湖心岛及校内主干道绿化带。</w:t>
      </w:r>
    </w:p>
    <w:p>
      <w:pPr>
        <w:spacing w:line="440" w:lineRule="exact"/>
        <w:ind w:firstLine="424" w:firstLineChars="177"/>
        <w:rPr>
          <w:rFonts w:ascii="宋体" w:hAnsi="宋体"/>
          <w:bCs/>
          <w:sz w:val="24"/>
        </w:rPr>
      </w:pPr>
      <w:r>
        <w:rPr>
          <w:rFonts w:hint="eastAsia" w:ascii="宋体" w:hAnsi="宋体"/>
          <w:bCs/>
          <w:sz w:val="24"/>
        </w:rPr>
        <w:t>2.5.2每月对区域内红火蚁进行施药消杀，每三个月对防治区域的监测、调查，书面记录蚂蚁巢穴等情况，评估红火蚁疫情，遇有活动性蚁巢随时处理。</w:t>
      </w:r>
    </w:p>
    <w:p>
      <w:pPr>
        <w:spacing w:line="440" w:lineRule="exact"/>
        <w:ind w:firstLine="424" w:firstLineChars="177"/>
        <w:rPr>
          <w:rFonts w:ascii="宋体" w:hAnsi="宋体"/>
          <w:bCs/>
          <w:sz w:val="24"/>
        </w:rPr>
      </w:pPr>
      <w:r>
        <w:rPr>
          <w:rFonts w:hint="eastAsia" w:ascii="宋体" w:hAnsi="宋体"/>
          <w:bCs/>
          <w:sz w:val="24"/>
        </w:rPr>
        <w:t>2.5.3每年春季（5-6月）和秋季（10-11月）红火蚁防控的最佳时期，对防控区域足量投药开展防治、消杀。分片、分区开展网格化施药扑杀，有效控制红火蚁疫情的蔓延和危害。</w:t>
      </w:r>
    </w:p>
    <w:p>
      <w:pPr>
        <w:spacing w:line="440" w:lineRule="exact"/>
        <w:ind w:firstLine="424" w:firstLineChars="177"/>
        <w:rPr>
          <w:rFonts w:ascii="宋体" w:hAnsi="宋体"/>
          <w:bCs/>
          <w:sz w:val="24"/>
        </w:rPr>
      </w:pPr>
      <w:r>
        <w:rPr>
          <w:rFonts w:hint="eastAsia" w:ascii="宋体" w:hAnsi="宋体"/>
          <w:bCs/>
          <w:sz w:val="24"/>
        </w:rPr>
        <w:t>2.5.4加强巡查，查遗补漏，及时灭治。将防治过程及防治效果进行记录、拍照存档。</w:t>
      </w:r>
    </w:p>
    <w:p>
      <w:pPr>
        <w:spacing w:line="440" w:lineRule="exact"/>
        <w:ind w:firstLine="426" w:firstLineChars="177"/>
        <w:rPr>
          <w:rFonts w:ascii="宋体" w:hAnsi="宋体"/>
          <w:b/>
          <w:sz w:val="24"/>
        </w:rPr>
      </w:pPr>
      <w:bookmarkStart w:id="0" w:name="_Toc403742738"/>
      <w:bookmarkStart w:id="1" w:name="_Toc293875607"/>
      <w:r>
        <w:rPr>
          <w:rFonts w:hint="eastAsia" w:ascii="宋体" w:hAnsi="宋体"/>
          <w:b/>
          <w:sz w:val="24"/>
        </w:rPr>
        <w:t>3、供应商的责任要求</w:t>
      </w:r>
      <w:bookmarkEnd w:id="0"/>
      <w:bookmarkEnd w:id="1"/>
    </w:p>
    <w:p>
      <w:pPr>
        <w:spacing w:line="440" w:lineRule="exact"/>
        <w:ind w:firstLine="424" w:firstLineChars="177"/>
        <w:rPr>
          <w:rFonts w:ascii="宋体" w:hAnsi="宋体"/>
          <w:sz w:val="24"/>
        </w:rPr>
      </w:pPr>
      <w:r>
        <w:rPr>
          <w:rFonts w:hint="eastAsia" w:ascii="宋体" w:hAnsi="宋体"/>
          <w:sz w:val="24"/>
        </w:rPr>
        <w:t>3.1</w:t>
      </w:r>
      <w:r>
        <w:rPr>
          <w:rFonts w:ascii="宋体" w:hAnsi="宋体"/>
          <w:sz w:val="24"/>
        </w:rPr>
        <w:t xml:space="preserve"> 尽职尽责，科学操作；讲求实效，保证承包项目达到标准要求；科学用药，不使用国家禁用或伪劣的灭鼠、杀虫剂；安全操作，不污染环境，确保人畜安全</w:t>
      </w:r>
      <w:r>
        <w:rPr>
          <w:rFonts w:hint="eastAsia" w:ascii="宋体" w:hAnsi="宋体"/>
          <w:sz w:val="24"/>
        </w:rPr>
        <w:t>，若发生人兽安全事件负全部责任</w:t>
      </w:r>
      <w:r>
        <w:rPr>
          <w:rFonts w:ascii="宋体" w:hAnsi="宋体"/>
          <w:sz w:val="24"/>
        </w:rPr>
        <w:t xml:space="preserve">； </w:t>
      </w:r>
    </w:p>
    <w:p>
      <w:pPr>
        <w:spacing w:line="440" w:lineRule="exact"/>
        <w:ind w:firstLine="424" w:firstLineChars="177"/>
        <w:rPr>
          <w:rFonts w:ascii="宋体" w:hAnsi="宋体"/>
          <w:sz w:val="24"/>
        </w:rPr>
      </w:pPr>
      <w:r>
        <w:rPr>
          <w:rFonts w:hint="eastAsia" w:ascii="宋体" w:hAnsi="宋体"/>
          <w:sz w:val="24"/>
        </w:rPr>
        <w:t>3.2</w:t>
      </w:r>
      <w:r>
        <w:rPr>
          <w:rFonts w:ascii="宋体" w:hAnsi="宋体"/>
          <w:sz w:val="24"/>
        </w:rPr>
        <w:t>坚持有害生物密度监测，按要求做好监测记录。</w:t>
      </w:r>
    </w:p>
    <w:p>
      <w:pPr>
        <w:spacing w:line="440" w:lineRule="exact"/>
        <w:ind w:firstLine="424" w:firstLineChars="177"/>
        <w:rPr>
          <w:rFonts w:ascii="宋体" w:hAnsi="宋体"/>
          <w:sz w:val="24"/>
        </w:rPr>
      </w:pPr>
      <w:r>
        <w:rPr>
          <w:rFonts w:hint="eastAsia" w:ascii="宋体" w:hAnsi="宋体"/>
          <w:sz w:val="24"/>
        </w:rPr>
        <w:t>3.3</w:t>
      </w:r>
      <w:r>
        <w:rPr>
          <w:rFonts w:ascii="宋体" w:hAnsi="宋体"/>
          <w:sz w:val="24"/>
        </w:rPr>
        <w:t>做好工作记录，建立施药服务卡，做好</w:t>
      </w:r>
      <w:r>
        <w:rPr>
          <w:rFonts w:hint="eastAsia" w:ascii="宋体" w:hAnsi="宋体"/>
          <w:sz w:val="24"/>
        </w:rPr>
        <w:t>消杀</w:t>
      </w:r>
      <w:r>
        <w:rPr>
          <w:rFonts w:ascii="宋体" w:hAnsi="宋体"/>
          <w:sz w:val="24"/>
        </w:rPr>
        <w:t>资料</w:t>
      </w:r>
      <w:r>
        <w:rPr>
          <w:rFonts w:hint="eastAsia" w:ascii="宋体" w:hAnsi="宋体"/>
          <w:sz w:val="24"/>
        </w:rPr>
        <w:t>（消杀照片等）</w:t>
      </w:r>
      <w:r>
        <w:rPr>
          <w:rFonts w:ascii="宋体" w:hAnsi="宋体"/>
          <w:sz w:val="24"/>
        </w:rPr>
        <w:t>收集、整理归档；</w:t>
      </w:r>
    </w:p>
    <w:p>
      <w:pPr>
        <w:spacing w:line="440" w:lineRule="exact"/>
        <w:ind w:firstLine="424" w:firstLineChars="177"/>
        <w:rPr>
          <w:rFonts w:ascii="宋体" w:hAnsi="宋体"/>
          <w:sz w:val="24"/>
        </w:rPr>
      </w:pPr>
      <w:r>
        <w:rPr>
          <w:rFonts w:hint="eastAsia" w:ascii="宋体" w:hAnsi="宋体"/>
          <w:sz w:val="24"/>
        </w:rPr>
        <w:t>3.4</w:t>
      </w:r>
      <w:r>
        <w:rPr>
          <w:rFonts w:ascii="宋体" w:hAnsi="宋体"/>
          <w:sz w:val="24"/>
        </w:rPr>
        <w:t xml:space="preserve"> 接受上级爱卫部门和采购人的监督指导，不断改进工作；</w:t>
      </w:r>
    </w:p>
    <w:p>
      <w:pPr>
        <w:spacing w:line="440" w:lineRule="exact"/>
        <w:ind w:firstLine="424" w:firstLineChars="177"/>
        <w:rPr>
          <w:rFonts w:ascii="宋体" w:hAnsi="宋体"/>
          <w:sz w:val="24"/>
        </w:rPr>
      </w:pPr>
      <w:r>
        <w:rPr>
          <w:rFonts w:hint="eastAsia" w:ascii="宋体" w:hAnsi="宋体"/>
          <w:sz w:val="24"/>
        </w:rPr>
        <w:t>3.5</w:t>
      </w:r>
      <w:r>
        <w:rPr>
          <w:rFonts w:ascii="宋体" w:hAnsi="宋体"/>
          <w:sz w:val="24"/>
        </w:rPr>
        <w:t xml:space="preserve"> 发生相关疫情或上级检查需要在本承包范围开展应急消杀时，应无条件提供人力、药物、器械参与消杀，服从指挥。</w:t>
      </w:r>
    </w:p>
    <w:p>
      <w:pPr>
        <w:spacing w:line="440" w:lineRule="exact"/>
        <w:ind w:firstLine="424" w:firstLineChars="177"/>
        <w:rPr>
          <w:rFonts w:ascii="宋体" w:hAnsi="宋体"/>
          <w:sz w:val="24"/>
        </w:rPr>
      </w:pPr>
      <w:r>
        <w:rPr>
          <w:rFonts w:hint="eastAsia" w:ascii="宋体" w:hAnsi="宋体"/>
          <w:sz w:val="24"/>
        </w:rPr>
        <w:t>3.6 每次施工过程做好施工记录和报告，现场签字并附上施工照片。</w:t>
      </w:r>
    </w:p>
    <w:p>
      <w:pPr>
        <w:spacing w:line="440" w:lineRule="exact"/>
        <w:ind w:firstLine="424" w:firstLineChars="177"/>
        <w:rPr>
          <w:rFonts w:ascii="宋体" w:hAnsi="宋体"/>
          <w:spacing w:val="-6"/>
          <w:sz w:val="24"/>
        </w:rPr>
      </w:pPr>
      <w:r>
        <w:rPr>
          <w:rFonts w:hint="eastAsia" w:ascii="宋体" w:hAnsi="宋体"/>
          <w:sz w:val="24"/>
        </w:rPr>
        <w:t>3.7</w:t>
      </w:r>
      <w:r>
        <w:rPr>
          <w:rFonts w:hint="eastAsia" w:ascii="宋体" w:hAnsi="宋体"/>
          <w:spacing w:val="-6"/>
          <w:sz w:val="24"/>
        </w:rPr>
        <w:t>供应商已在福州市进行有害生物防制服务机构备案的，须提供最新的福州市卫生健康委2023年福州市有害生物防制服务机构备案公示网址链接及截图证明材料；未在福州市进行有害生物防制服务机构备案的，应承诺成交后合同签订前登记备案，</w:t>
      </w:r>
      <w:r>
        <w:rPr>
          <w:rFonts w:hint="eastAsia" w:ascii="宋体" w:hAnsi="宋体"/>
          <w:b/>
          <w:bCs/>
          <w:spacing w:val="-6"/>
          <w:sz w:val="24"/>
        </w:rPr>
        <w:t>须提供承诺函且承诺的内容满足上述要求。</w:t>
      </w:r>
    </w:p>
    <w:p>
      <w:pPr>
        <w:spacing w:line="440" w:lineRule="exact"/>
        <w:ind w:firstLine="426" w:firstLineChars="177"/>
        <w:rPr>
          <w:rFonts w:ascii="宋体" w:hAnsi="宋体"/>
          <w:b/>
          <w:sz w:val="24"/>
        </w:rPr>
      </w:pPr>
      <w:r>
        <w:rPr>
          <w:rFonts w:hint="eastAsia" w:ascii="宋体" w:hAnsi="宋体"/>
          <w:b/>
          <w:sz w:val="24"/>
        </w:rPr>
        <w:t>4、供应商应配备的药品</w:t>
      </w:r>
    </w:p>
    <w:p>
      <w:pPr>
        <w:spacing w:line="440" w:lineRule="exact"/>
        <w:ind w:firstLine="424" w:firstLineChars="177"/>
        <w:rPr>
          <w:rFonts w:ascii="宋体" w:hAnsi="宋体"/>
          <w:sz w:val="24"/>
        </w:rPr>
      </w:pPr>
      <w:r>
        <w:rPr>
          <w:rFonts w:hint="eastAsia" w:ascii="宋体" w:hAnsi="宋体"/>
          <w:sz w:val="24"/>
        </w:rPr>
        <w:t>4.1  ≥0.5%含量的吡丙醚颗粒剂；</w:t>
      </w:r>
    </w:p>
    <w:p>
      <w:pPr>
        <w:spacing w:line="440" w:lineRule="exact"/>
        <w:ind w:firstLine="424" w:firstLineChars="177"/>
        <w:rPr>
          <w:rFonts w:ascii="宋体" w:hAnsi="宋体"/>
          <w:sz w:val="24"/>
        </w:rPr>
      </w:pPr>
      <w:r>
        <w:rPr>
          <w:rFonts w:hint="eastAsia" w:ascii="宋体" w:hAnsi="宋体"/>
          <w:sz w:val="24"/>
        </w:rPr>
        <w:t>4.2  ≥3%含量的高效氯氰菊酯乳油或氯丙炔复配乳油或顺式氯氰菊酯微乳剂；</w:t>
      </w:r>
    </w:p>
    <w:p>
      <w:pPr>
        <w:spacing w:line="440" w:lineRule="exact"/>
        <w:ind w:firstLine="424" w:firstLineChars="177"/>
        <w:rPr>
          <w:rFonts w:ascii="宋体" w:hAnsi="宋体"/>
          <w:sz w:val="24"/>
        </w:rPr>
      </w:pPr>
      <w:r>
        <w:rPr>
          <w:rFonts w:hint="eastAsia" w:ascii="宋体" w:hAnsi="宋体"/>
          <w:sz w:val="24"/>
        </w:rPr>
        <w:t>4.3  ≥1%含量的高效氯氰菊酯热雾剂；</w:t>
      </w:r>
    </w:p>
    <w:p>
      <w:pPr>
        <w:spacing w:line="440" w:lineRule="exact"/>
        <w:ind w:firstLine="424" w:firstLineChars="177"/>
        <w:rPr>
          <w:rFonts w:ascii="宋体" w:hAnsi="宋体"/>
          <w:sz w:val="24"/>
        </w:rPr>
      </w:pPr>
      <w:r>
        <w:rPr>
          <w:rFonts w:hint="eastAsia" w:ascii="宋体" w:hAnsi="宋体"/>
          <w:sz w:val="24"/>
        </w:rPr>
        <w:t>4.4  ≥0.05%含量的茚虫威饵剂；</w:t>
      </w:r>
    </w:p>
    <w:p>
      <w:pPr>
        <w:spacing w:line="440" w:lineRule="exact"/>
        <w:ind w:firstLine="424" w:firstLineChars="177"/>
        <w:rPr>
          <w:rFonts w:ascii="宋体" w:hAnsi="宋体"/>
          <w:sz w:val="24"/>
        </w:rPr>
      </w:pPr>
      <w:r>
        <w:rPr>
          <w:rFonts w:hint="eastAsia" w:ascii="宋体" w:hAnsi="宋体"/>
          <w:sz w:val="24"/>
        </w:rPr>
        <w:t>4.5  ≥0.1%高效氯氰菊酯粉剂。</w:t>
      </w:r>
    </w:p>
    <w:p>
      <w:pPr>
        <w:spacing w:line="440" w:lineRule="exact"/>
        <w:ind w:firstLine="480"/>
        <w:rPr>
          <w:rFonts w:ascii="宋体" w:hAnsi="宋体"/>
          <w:b/>
          <w:bCs/>
          <w:sz w:val="24"/>
        </w:rPr>
      </w:pPr>
      <w:r>
        <w:rPr>
          <w:rFonts w:hint="eastAsia" w:ascii="宋体" w:hAnsi="宋体"/>
          <w:b/>
          <w:bCs/>
          <w:sz w:val="24"/>
        </w:rPr>
        <w:t>以上药品须同时提供农药登记证、产品企业标准或行业标准、生产许可证或生产批准证复印件，未提供或提供不齐全的其投标无效。</w:t>
      </w:r>
    </w:p>
    <w:p>
      <w:pPr>
        <w:spacing w:line="440" w:lineRule="exact"/>
        <w:ind w:firstLine="426" w:firstLineChars="177"/>
        <w:rPr>
          <w:rFonts w:ascii="宋体" w:hAnsi="宋体"/>
          <w:b/>
          <w:sz w:val="24"/>
        </w:rPr>
      </w:pPr>
      <w:r>
        <w:rPr>
          <w:rFonts w:hint="eastAsia" w:ascii="宋体" w:hAnsi="宋体"/>
          <w:b/>
          <w:sz w:val="24"/>
        </w:rPr>
        <w:t>5、供应商应配备的设备</w:t>
      </w:r>
    </w:p>
    <w:p>
      <w:pPr>
        <w:spacing w:line="440" w:lineRule="exact"/>
        <w:ind w:firstLine="420" w:firstLineChars="175"/>
        <w:rPr>
          <w:rFonts w:ascii="宋体" w:hAnsi="宋体"/>
          <w:sz w:val="24"/>
        </w:rPr>
      </w:pPr>
      <w:r>
        <w:rPr>
          <w:rFonts w:hint="eastAsia" w:ascii="宋体" w:hAnsi="宋体"/>
          <w:sz w:val="24"/>
        </w:rPr>
        <w:t>5.1大型车载式喷雾器≥1辆</w:t>
      </w:r>
    </w:p>
    <w:p>
      <w:pPr>
        <w:spacing w:line="440" w:lineRule="exact"/>
        <w:ind w:firstLine="420" w:firstLineChars="175"/>
        <w:rPr>
          <w:rFonts w:ascii="宋体" w:hAnsi="宋体"/>
          <w:sz w:val="24"/>
        </w:rPr>
      </w:pPr>
      <w:r>
        <w:rPr>
          <w:rFonts w:hint="eastAsia" w:ascii="宋体" w:hAnsi="宋体"/>
          <w:sz w:val="24"/>
        </w:rPr>
        <w:t>5.2自带动力超低容量喷雾器≥10台</w:t>
      </w:r>
    </w:p>
    <w:p>
      <w:pPr>
        <w:spacing w:line="440" w:lineRule="exact"/>
        <w:ind w:firstLine="420" w:firstLineChars="175"/>
        <w:rPr>
          <w:rFonts w:ascii="宋体" w:hAnsi="宋体"/>
          <w:sz w:val="24"/>
        </w:rPr>
      </w:pPr>
      <w:r>
        <w:rPr>
          <w:rFonts w:hint="eastAsia" w:ascii="宋体" w:hAnsi="宋体"/>
          <w:sz w:val="24"/>
        </w:rPr>
        <w:t>5.3手推式喷雾机≥10台</w:t>
      </w:r>
    </w:p>
    <w:p>
      <w:pPr>
        <w:spacing w:line="440" w:lineRule="exact"/>
        <w:ind w:firstLine="420" w:firstLineChars="175"/>
        <w:rPr>
          <w:rFonts w:ascii="宋体" w:hAnsi="宋体"/>
          <w:sz w:val="24"/>
        </w:rPr>
      </w:pPr>
      <w:r>
        <w:rPr>
          <w:rFonts w:hint="eastAsia" w:ascii="宋体" w:hAnsi="宋体"/>
          <w:sz w:val="24"/>
        </w:rPr>
        <w:t>5.4热烟雾机≥10台</w:t>
      </w:r>
    </w:p>
    <w:p>
      <w:pPr>
        <w:spacing w:line="440" w:lineRule="exact"/>
        <w:ind w:firstLine="420" w:firstLineChars="175"/>
        <w:rPr>
          <w:rFonts w:ascii="宋体" w:hAnsi="宋体"/>
          <w:sz w:val="24"/>
        </w:rPr>
      </w:pPr>
      <w:r>
        <w:rPr>
          <w:rFonts w:hint="eastAsia" w:ascii="宋体" w:hAnsi="宋体"/>
          <w:sz w:val="24"/>
        </w:rPr>
        <w:t>5.5自有车辆≥2辆</w:t>
      </w:r>
    </w:p>
    <w:p>
      <w:pPr>
        <w:spacing w:line="440" w:lineRule="exact"/>
        <w:ind w:firstLine="422" w:firstLineChars="175"/>
        <w:rPr>
          <w:rFonts w:ascii="宋体" w:hAnsi="宋体"/>
          <w:b/>
          <w:bCs/>
          <w:color w:val="0000FF"/>
          <w:sz w:val="24"/>
        </w:rPr>
      </w:pPr>
      <w:r>
        <w:rPr>
          <w:rFonts w:hint="eastAsia" w:ascii="宋体" w:hAnsi="宋体"/>
          <w:b/>
          <w:bCs/>
          <w:sz w:val="24"/>
        </w:rPr>
        <w:t>供应商须提供</w:t>
      </w:r>
      <w:r>
        <w:rPr>
          <w:rFonts w:hint="eastAsia" w:ascii="宋体" w:hAnsi="宋体"/>
          <w:b/>
          <w:bCs/>
          <w:color w:val="auto"/>
          <w:sz w:val="24"/>
        </w:rPr>
        <w:t>设备清单及供应商自行购置发票（发票抬头的公司名称须为供应商）的复印件，未提供或提供不齐全的其投标无效。</w:t>
      </w:r>
    </w:p>
    <w:p>
      <w:pPr>
        <w:spacing w:line="440" w:lineRule="exact"/>
        <w:ind w:firstLine="482" w:firstLineChars="200"/>
        <w:rPr>
          <w:rFonts w:ascii="宋体" w:hAnsi="宋体"/>
          <w:b/>
          <w:bCs/>
          <w:sz w:val="24"/>
        </w:rPr>
      </w:pPr>
      <w:r>
        <w:rPr>
          <w:rFonts w:hint="eastAsia" w:ascii="宋体" w:hAnsi="宋体"/>
          <w:b/>
          <w:bCs/>
          <w:sz w:val="24"/>
        </w:rPr>
        <w:t>6、供应商应配备的人员</w:t>
      </w:r>
    </w:p>
    <w:p>
      <w:pPr>
        <w:spacing w:line="440" w:lineRule="exact"/>
        <w:rPr>
          <w:rFonts w:ascii="宋体" w:hAnsi="宋体"/>
          <w:sz w:val="24"/>
          <w:highlight w:val="none"/>
        </w:rPr>
      </w:pPr>
      <w:r>
        <w:rPr>
          <w:rFonts w:hint="eastAsia" w:ascii="宋体" w:hAnsi="宋体"/>
          <w:sz w:val="24"/>
        </w:rPr>
        <w:t xml:space="preserve">   供应商应配备不少于10人的服务</w:t>
      </w:r>
      <w:r>
        <w:rPr>
          <w:rFonts w:hint="eastAsia" w:ascii="宋体" w:hAnsi="宋体"/>
          <w:sz w:val="24"/>
          <w:highlight w:val="none"/>
        </w:rPr>
        <w:t>团队，其中包含1名项目负责人，不少于9名消杀作业人员。</w:t>
      </w:r>
    </w:p>
    <w:p>
      <w:pPr>
        <w:spacing w:line="440" w:lineRule="exact"/>
        <w:ind w:firstLine="480" w:firstLineChars="200"/>
        <w:rPr>
          <w:rFonts w:ascii="宋体" w:hAnsi="宋体" w:cs="宋体"/>
          <w:kern w:val="0"/>
          <w:sz w:val="24"/>
          <w:highlight w:val="none"/>
        </w:rPr>
      </w:pPr>
      <w:r>
        <w:rPr>
          <w:rFonts w:hint="eastAsia" w:ascii="宋体" w:hAnsi="宋体"/>
          <w:sz w:val="24"/>
          <w:highlight w:val="none"/>
        </w:rPr>
        <w:t>6.1</w:t>
      </w:r>
      <w:r>
        <w:rPr>
          <w:rFonts w:hint="eastAsia" w:ascii="宋体" w:hAnsi="宋体" w:cs="宋体"/>
          <w:kern w:val="0"/>
          <w:sz w:val="24"/>
          <w:highlight w:val="none"/>
        </w:rPr>
        <w:t>供应商拟配备的项目负责人须具有本科及以上学历、有害生物防制员四级（中级）及以上职业资格证书、林业有害生物防治员三级（高级）及以上职业资格证书。</w:t>
      </w:r>
    </w:p>
    <w:p>
      <w:pPr>
        <w:spacing w:line="440" w:lineRule="exact"/>
        <w:ind w:firstLine="480" w:firstLineChars="200"/>
        <w:rPr>
          <w:rFonts w:ascii="宋体" w:hAnsi="宋体" w:cs="宋体"/>
          <w:b/>
          <w:bCs/>
          <w:kern w:val="0"/>
          <w:sz w:val="24"/>
          <w:highlight w:val="none"/>
        </w:rPr>
      </w:pPr>
      <w:r>
        <w:rPr>
          <w:rFonts w:hint="eastAsia" w:ascii="宋体" w:hAnsi="宋体" w:cs="宋体"/>
          <w:kern w:val="0"/>
          <w:sz w:val="24"/>
          <w:highlight w:val="none"/>
        </w:rPr>
        <w:t>供应商须提供</w:t>
      </w:r>
      <w:r>
        <w:rPr>
          <w:rFonts w:hint="eastAsia" w:ascii="宋体" w:hAnsi="宋体" w:cs="宋体"/>
          <w:sz w:val="24"/>
          <w:szCs w:val="24"/>
          <w:highlight w:val="none"/>
        </w:rPr>
        <w:t>①学历证书复印件（另附学信网查询网址及截图）、②</w:t>
      </w:r>
      <w:r>
        <w:rPr>
          <w:rFonts w:hint="eastAsia" w:ascii="宋体" w:hAnsi="宋体" w:cs="宋体"/>
          <w:kern w:val="0"/>
          <w:sz w:val="24"/>
          <w:highlight w:val="none"/>
        </w:rPr>
        <w:t>具有人力资源社会保障部门或政府职能部门颁发的有害生物防制员证书复印件、林业有害生物防治员证书复印件以及</w:t>
      </w:r>
      <w:r>
        <w:rPr>
          <w:rFonts w:hint="eastAsia" w:ascii="宋体" w:hAnsi="宋体" w:cs="宋体"/>
          <w:sz w:val="24"/>
          <w:szCs w:val="24"/>
          <w:highlight w:val="none"/>
        </w:rPr>
        <w:t>③</w:t>
      </w:r>
      <w:r>
        <w:rPr>
          <w:rFonts w:hint="eastAsia" w:ascii="宋体" w:hAnsi="宋体" w:cs="宋体"/>
          <w:kern w:val="0"/>
          <w:sz w:val="24"/>
          <w:highlight w:val="none"/>
        </w:rPr>
        <w:t>投标文件截止时间前6个月(含投标文件递交截止时间当月)任意一个月由供应商为其缴纳的社保证明材料。</w:t>
      </w:r>
      <w:r>
        <w:rPr>
          <w:rFonts w:hint="eastAsia" w:ascii="宋体" w:hAnsi="宋体" w:cs="宋体"/>
          <w:b/>
          <w:bCs/>
          <w:kern w:val="0"/>
          <w:sz w:val="24"/>
          <w:highlight w:val="none"/>
        </w:rPr>
        <w:t>未提供或提供不齐全的其投标无效。</w:t>
      </w:r>
    </w:p>
    <w:p>
      <w:pPr>
        <w:spacing w:line="440" w:lineRule="exact"/>
        <w:ind w:firstLine="480" w:firstLineChars="200"/>
        <w:rPr>
          <w:rFonts w:ascii="宋体" w:hAnsi="宋体" w:cs="宋体"/>
          <w:kern w:val="0"/>
          <w:sz w:val="24"/>
          <w:highlight w:val="none"/>
        </w:rPr>
      </w:pPr>
      <w:r>
        <w:rPr>
          <w:rFonts w:hint="eastAsia" w:ascii="宋体" w:hAnsi="宋体"/>
          <w:sz w:val="24"/>
          <w:highlight w:val="none"/>
        </w:rPr>
        <w:t>6.2</w:t>
      </w:r>
      <w:r>
        <w:rPr>
          <w:rFonts w:hint="eastAsia" w:ascii="宋体" w:hAnsi="宋体" w:cs="宋体"/>
          <w:kern w:val="0"/>
          <w:sz w:val="24"/>
          <w:highlight w:val="none"/>
        </w:rPr>
        <w:t>供应商配备的</w:t>
      </w:r>
      <w:r>
        <w:rPr>
          <w:rFonts w:hint="eastAsia" w:ascii="宋体" w:hAnsi="宋体"/>
          <w:sz w:val="24"/>
          <w:highlight w:val="none"/>
        </w:rPr>
        <w:t>消杀作业</w:t>
      </w:r>
      <w:r>
        <w:rPr>
          <w:rFonts w:hint="eastAsia" w:ascii="宋体" w:hAnsi="宋体" w:cs="宋体"/>
          <w:kern w:val="0"/>
          <w:sz w:val="24"/>
          <w:highlight w:val="none"/>
        </w:rPr>
        <w:t>人员中，具有有害生物防制员三级（高级）及以上职业资格证书的不少于3人，具有有害生物防制员四级（中级）及以上职业资格证书的不少于3人，具有有害生物防制员五级（初级）及以上职业资格证书的不少于3人。</w:t>
      </w:r>
    </w:p>
    <w:p>
      <w:pPr>
        <w:spacing w:line="440" w:lineRule="exact"/>
        <w:ind w:firstLine="480" w:firstLineChars="200"/>
        <w:rPr>
          <w:rFonts w:ascii="宋体" w:hAnsi="宋体" w:cs="宋体"/>
          <w:kern w:val="0"/>
          <w:sz w:val="24"/>
        </w:rPr>
      </w:pPr>
      <w:r>
        <w:rPr>
          <w:rFonts w:hint="eastAsia" w:ascii="宋体" w:hAnsi="宋体" w:cs="宋体"/>
          <w:kern w:val="0"/>
          <w:sz w:val="24"/>
          <w:highlight w:val="none"/>
        </w:rPr>
        <w:t>供应商须提供人员清单、具有人力资源社会保障部门或政府职能部门或备案的用人</w:t>
      </w:r>
      <w:r>
        <w:rPr>
          <w:rFonts w:hint="eastAsia" w:ascii="宋体" w:hAnsi="宋体" w:cs="宋体"/>
          <w:kern w:val="0"/>
          <w:sz w:val="24"/>
        </w:rPr>
        <w:t>单位或社会培训评价组织颁发的有害生物防制员证书复印件以及投标文件截止时间前6个月(含投标文件递交截止时间当月)任意一个月由供应商为其缴纳的社保证明材料（以上证书不得为同一人员）。</w:t>
      </w:r>
      <w:r>
        <w:rPr>
          <w:rFonts w:hint="eastAsia" w:ascii="宋体" w:hAnsi="宋体"/>
          <w:b/>
          <w:bCs/>
          <w:sz w:val="24"/>
        </w:rPr>
        <w:t>未提供或提供不齐全的其投标无效。</w:t>
      </w:r>
    </w:p>
    <w:p>
      <w:pPr>
        <w:spacing w:line="440" w:lineRule="exact"/>
        <w:ind w:firstLine="482" w:firstLineChars="200"/>
        <w:rPr>
          <w:rFonts w:ascii="宋体" w:hAnsi="宋体" w:cs="宋体"/>
          <w:b/>
          <w:bCs/>
          <w:kern w:val="0"/>
          <w:sz w:val="24"/>
        </w:rPr>
      </w:pPr>
      <w:r>
        <w:rPr>
          <w:rFonts w:hint="eastAsia" w:ascii="宋体" w:hAnsi="宋体" w:cs="宋体"/>
          <w:b/>
          <w:bCs/>
          <w:kern w:val="0"/>
          <w:sz w:val="24"/>
        </w:rPr>
        <w:t>注：6.1和6.2所提供的职业资格证书证明材料若为人力资源社会保障部门备案的用人单位或社会培训评价组织颁发的培训证书的，须提供该证书在“技能人才评价证书全国联网查询系统(http://zscx.osta.org.cn/或 http://jndj.osta.org.cn/ )”查询截图及查询链接或提供该用人单位的备案证明材料或社会培训评价组织的备案证明材料。</w:t>
      </w:r>
    </w:p>
    <w:p>
      <w:pPr>
        <w:spacing w:line="440" w:lineRule="exact"/>
        <w:ind w:firstLine="482" w:firstLineChars="200"/>
        <w:rPr>
          <w:rFonts w:ascii="宋体" w:hAnsi="宋体"/>
          <w:b/>
          <w:bCs/>
          <w:color w:val="auto"/>
          <w:sz w:val="24"/>
        </w:rPr>
      </w:pPr>
      <w:r>
        <w:rPr>
          <w:rFonts w:hint="eastAsia" w:ascii="宋体" w:hAnsi="宋体"/>
          <w:b/>
          <w:bCs/>
          <w:color w:val="auto"/>
          <w:sz w:val="24"/>
        </w:rPr>
        <w:t>7、供应商应具备的经验情况</w:t>
      </w:r>
    </w:p>
    <w:p>
      <w:pPr>
        <w:spacing w:line="440" w:lineRule="exact"/>
        <w:rPr>
          <w:rFonts w:ascii="宋体" w:hAnsi="宋体" w:cs="宋体"/>
          <w:color w:val="auto"/>
          <w:kern w:val="0"/>
          <w:sz w:val="24"/>
        </w:rPr>
      </w:pPr>
      <w:r>
        <w:rPr>
          <w:rFonts w:hint="eastAsia" w:ascii="宋体" w:hAnsi="宋体" w:cs="宋体"/>
          <w:color w:val="auto"/>
          <w:kern w:val="0"/>
          <w:sz w:val="24"/>
        </w:rPr>
        <w:t xml:space="preserve">    7.1自2019年1月1日以来(日期以合同签订日期为准，服务年限≥2年)不少于</w:t>
      </w:r>
      <w:r>
        <w:rPr>
          <w:rFonts w:hint="eastAsia" w:ascii="宋体" w:hAnsi="宋体" w:cs="宋体"/>
          <w:color w:val="auto"/>
          <w:kern w:val="0"/>
          <w:sz w:val="24"/>
          <w:lang w:val="en-US" w:eastAsia="zh-CN"/>
        </w:rPr>
        <w:t>1</w:t>
      </w:r>
      <w:r>
        <w:rPr>
          <w:rFonts w:hint="eastAsia" w:ascii="宋体" w:hAnsi="宋体" w:cs="宋体"/>
          <w:color w:val="auto"/>
          <w:kern w:val="0"/>
          <w:sz w:val="24"/>
        </w:rPr>
        <w:t>项由供应商已完成的公共外环境“四害”消杀服务项目经验情况。</w:t>
      </w:r>
    </w:p>
    <w:p>
      <w:pPr>
        <w:spacing w:line="440" w:lineRule="exact"/>
        <w:ind w:firstLine="480" w:firstLineChars="200"/>
        <w:rPr>
          <w:rFonts w:ascii="宋体" w:hAnsi="宋体" w:cs="宋体"/>
          <w:b/>
          <w:bCs/>
          <w:kern w:val="0"/>
          <w:sz w:val="24"/>
        </w:rPr>
      </w:pPr>
      <w:r>
        <w:rPr>
          <w:rFonts w:hint="eastAsia" w:ascii="宋体" w:hAnsi="宋体" w:cs="宋体"/>
          <w:color w:val="auto"/>
          <w:kern w:val="0"/>
          <w:sz w:val="24"/>
        </w:rPr>
        <w:t>供应商须提供业绩列表及</w:t>
      </w:r>
      <w:r>
        <w:rPr>
          <w:rFonts w:hint="eastAsia" w:ascii="宋体" w:hAnsi="宋体"/>
          <w:color w:val="auto"/>
          <w:sz w:val="24"/>
        </w:rPr>
        <w:t>项目的中标（成交）公告（提供相关网站</w:t>
      </w:r>
      <w:r>
        <w:rPr>
          <w:rFonts w:hint="eastAsia" w:ascii="宋体" w:hAnsi="宋体"/>
          <w:sz w:val="24"/>
        </w:rPr>
        <w:t>中标（成交）公告的下载网页并注明网址）、中标（成交）通知书复印件、采购合同文本复印件以及能够证明该项目已经采购人验收合格的相关证明文件复印件</w:t>
      </w:r>
      <w:r>
        <w:rPr>
          <w:rFonts w:hint="eastAsia" w:ascii="宋体" w:hAnsi="宋体" w:cs="宋体"/>
          <w:kern w:val="0"/>
          <w:sz w:val="24"/>
        </w:rPr>
        <w:t>。</w:t>
      </w:r>
      <w:r>
        <w:rPr>
          <w:rFonts w:hint="eastAsia" w:ascii="宋体" w:hAnsi="宋体"/>
          <w:b/>
          <w:bCs/>
          <w:sz w:val="24"/>
        </w:rPr>
        <w:t>未提供或提供不齐全的其投标无效。</w:t>
      </w:r>
    </w:p>
    <w:p>
      <w:pPr>
        <w:spacing w:line="440" w:lineRule="exact"/>
        <w:ind w:firstLine="420" w:firstLineChars="175"/>
        <w:rPr>
          <w:rFonts w:ascii="宋体" w:hAnsi="宋体" w:cs="宋体"/>
          <w:kern w:val="0"/>
          <w:sz w:val="24"/>
        </w:rPr>
      </w:pPr>
      <w:r>
        <w:rPr>
          <w:rFonts w:hint="eastAsia" w:ascii="宋体" w:hAnsi="宋体" w:cs="宋体"/>
          <w:kern w:val="0"/>
          <w:sz w:val="24"/>
        </w:rPr>
        <w:t>7.2自2019年1月1日以来(日期以合同签订日期为准)不少于1项由供应商已完成或正在履行的红火蚁防控服务项目经验情况。</w:t>
      </w:r>
    </w:p>
    <w:p>
      <w:pPr>
        <w:spacing w:line="440" w:lineRule="exact"/>
        <w:ind w:firstLine="480" w:firstLineChars="200"/>
        <w:rPr>
          <w:rFonts w:ascii="宋体" w:hAnsi="宋体"/>
          <w:sz w:val="24"/>
        </w:rPr>
      </w:pPr>
      <w:r>
        <w:rPr>
          <w:rFonts w:hint="eastAsia" w:ascii="宋体" w:hAnsi="宋体" w:cs="宋体"/>
          <w:kern w:val="0"/>
          <w:sz w:val="24"/>
        </w:rPr>
        <w:t>供应商须提供业绩列表及</w:t>
      </w:r>
      <w:r>
        <w:rPr>
          <w:rFonts w:hint="eastAsia" w:ascii="宋体" w:hAnsi="宋体"/>
          <w:sz w:val="24"/>
        </w:rPr>
        <w:t>项目的中标（成交）公告（提供相关网站中标（成交）公告的下载网页并注明网址）、中标（成交）通知书复印件、采购合同文本复印件以及能够证明该项目已经采购人验收合格的相关证明文件复印件（正在履行的项目可提供阶段性验收材料）</w:t>
      </w:r>
      <w:r>
        <w:rPr>
          <w:rFonts w:hint="eastAsia" w:ascii="宋体" w:hAnsi="宋体" w:cs="宋体"/>
          <w:kern w:val="0"/>
          <w:sz w:val="24"/>
        </w:rPr>
        <w:t>。</w:t>
      </w:r>
      <w:r>
        <w:rPr>
          <w:rFonts w:hint="eastAsia" w:ascii="宋体" w:hAnsi="宋体"/>
          <w:b/>
          <w:bCs/>
          <w:sz w:val="24"/>
        </w:rPr>
        <w:t>未提供或提供不齐全的其投标无效。</w:t>
      </w:r>
    </w:p>
    <w:p>
      <w:pPr>
        <w:spacing w:line="440" w:lineRule="exact"/>
        <w:ind w:firstLine="477" w:firstLineChars="198"/>
        <w:rPr>
          <w:rFonts w:ascii="宋体" w:hAnsi="宋体"/>
          <w:b/>
          <w:sz w:val="24"/>
        </w:rPr>
      </w:pPr>
      <w:r>
        <w:rPr>
          <w:rFonts w:hint="eastAsia" w:ascii="宋体" w:hAnsi="宋体"/>
          <w:b/>
          <w:sz w:val="24"/>
        </w:rPr>
        <w:t>8、消杀质量评估标准</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578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384" w:type="dxa"/>
            <w:vAlign w:val="center"/>
          </w:tcPr>
          <w:p>
            <w:pPr>
              <w:spacing w:line="440" w:lineRule="exact"/>
              <w:jc w:val="center"/>
              <w:rPr>
                <w:rFonts w:ascii="宋体" w:hAnsi="宋体"/>
                <w:bCs/>
                <w:sz w:val="24"/>
              </w:rPr>
            </w:pPr>
            <w:r>
              <w:rPr>
                <w:rFonts w:hint="eastAsia" w:ascii="宋体" w:hAnsi="宋体"/>
                <w:bCs/>
                <w:sz w:val="24"/>
              </w:rPr>
              <w:t>消杀项目</w:t>
            </w:r>
          </w:p>
        </w:tc>
        <w:tc>
          <w:tcPr>
            <w:tcW w:w="5387" w:type="dxa"/>
            <w:vAlign w:val="center"/>
          </w:tcPr>
          <w:p>
            <w:pPr>
              <w:spacing w:line="440" w:lineRule="exact"/>
              <w:jc w:val="center"/>
              <w:rPr>
                <w:rFonts w:ascii="宋体" w:hAnsi="宋体"/>
                <w:bCs/>
                <w:sz w:val="24"/>
              </w:rPr>
            </w:pPr>
            <w:r>
              <w:rPr>
                <w:rFonts w:hint="eastAsia" w:ascii="宋体" w:hAnsi="宋体"/>
                <w:bCs/>
                <w:sz w:val="24"/>
              </w:rPr>
              <w:t>质量标准</w:t>
            </w:r>
          </w:p>
        </w:tc>
        <w:tc>
          <w:tcPr>
            <w:tcW w:w="1842" w:type="dxa"/>
            <w:vAlign w:val="center"/>
          </w:tcPr>
          <w:p>
            <w:pPr>
              <w:spacing w:line="440" w:lineRule="exact"/>
              <w:jc w:val="center"/>
              <w:rPr>
                <w:rFonts w:ascii="宋体" w:hAnsi="宋体"/>
                <w:bCs/>
                <w:sz w:val="24"/>
              </w:rPr>
            </w:pPr>
            <w:r>
              <w:rPr>
                <w:rFonts w:hint="eastAsia" w:ascii="宋体" w:hAnsi="宋体"/>
                <w:bCs/>
                <w:sz w:val="24"/>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384" w:type="dxa"/>
            <w:vAlign w:val="center"/>
          </w:tcPr>
          <w:p>
            <w:pPr>
              <w:spacing w:line="440" w:lineRule="exact"/>
              <w:jc w:val="center"/>
              <w:rPr>
                <w:rFonts w:ascii="宋体" w:hAnsi="宋体"/>
                <w:bCs/>
                <w:sz w:val="24"/>
              </w:rPr>
            </w:pPr>
            <w:r>
              <w:rPr>
                <w:rFonts w:hint="eastAsia" w:ascii="宋体" w:hAnsi="宋体"/>
                <w:bCs/>
                <w:sz w:val="24"/>
              </w:rPr>
              <w:t>灭鼠</w:t>
            </w:r>
          </w:p>
        </w:tc>
        <w:tc>
          <w:tcPr>
            <w:tcW w:w="5387" w:type="dxa"/>
            <w:vAlign w:val="center"/>
          </w:tcPr>
          <w:p>
            <w:pPr>
              <w:overflowPunct w:val="0"/>
              <w:autoSpaceDE w:val="0"/>
              <w:autoSpaceDN w:val="0"/>
              <w:adjustRightInd w:val="0"/>
              <w:spacing w:line="351" w:lineRule="atLeast"/>
              <w:ind w:firstLine="360" w:firstLineChars="150"/>
              <w:jc w:val="left"/>
              <w:textAlignment w:val="baseline"/>
              <w:rPr>
                <w:rFonts w:ascii="宋体" w:hAnsi="宋体"/>
                <w:bCs/>
                <w:sz w:val="24"/>
              </w:rPr>
            </w:pPr>
            <w:r>
              <w:rPr>
                <w:rFonts w:hint="eastAsia" w:ascii="宋体" w:hAnsi="宋体"/>
                <w:bCs/>
                <w:sz w:val="24"/>
              </w:rPr>
              <w:t>选取15平方米标准面积3处，每处布放20×20厘米滑石粉块5块，一夜后阳性粉块不超过3％；有鼠洞、鼠粪、鼠咬等痕迹的房间不超过2％。</w:t>
            </w:r>
          </w:p>
        </w:tc>
        <w:tc>
          <w:tcPr>
            <w:tcW w:w="1842" w:type="dxa"/>
            <w:vAlign w:val="center"/>
          </w:tcPr>
          <w:p>
            <w:pPr>
              <w:spacing w:line="440" w:lineRule="exact"/>
              <w:jc w:val="center"/>
              <w:rPr>
                <w:rFonts w:ascii="宋体" w:hAnsi="宋体"/>
                <w:bCs/>
                <w:sz w:val="24"/>
              </w:rPr>
            </w:pPr>
            <w:r>
              <w:rPr>
                <w:rFonts w:hint="eastAsia" w:ascii="宋体" w:hAnsi="宋体"/>
                <w:bCs/>
                <w:sz w:val="24"/>
              </w:rPr>
              <w:t>粉迹法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384" w:type="dxa"/>
            <w:vAlign w:val="center"/>
          </w:tcPr>
          <w:p>
            <w:pPr>
              <w:spacing w:line="440" w:lineRule="exact"/>
              <w:jc w:val="center"/>
              <w:rPr>
                <w:rFonts w:ascii="宋体" w:hAnsi="宋体"/>
                <w:bCs/>
                <w:sz w:val="24"/>
              </w:rPr>
            </w:pPr>
            <w:r>
              <w:rPr>
                <w:rFonts w:hint="eastAsia" w:ascii="宋体" w:hAnsi="宋体"/>
                <w:bCs/>
                <w:sz w:val="24"/>
              </w:rPr>
              <w:t>灭蚊</w:t>
            </w:r>
          </w:p>
        </w:tc>
        <w:tc>
          <w:tcPr>
            <w:tcW w:w="5387" w:type="dxa"/>
            <w:tcBorders>
              <w:bottom w:val="single" w:color="auto" w:sz="4" w:space="0"/>
            </w:tcBorders>
            <w:vAlign w:val="center"/>
          </w:tcPr>
          <w:p>
            <w:pPr>
              <w:overflowPunct w:val="0"/>
              <w:autoSpaceDE w:val="0"/>
              <w:autoSpaceDN w:val="0"/>
              <w:adjustRightInd w:val="0"/>
              <w:spacing w:line="351" w:lineRule="atLeast"/>
              <w:ind w:firstLine="360" w:firstLineChars="150"/>
              <w:jc w:val="left"/>
              <w:textAlignment w:val="baseline"/>
              <w:rPr>
                <w:rFonts w:ascii="宋体" w:hAnsi="宋体"/>
                <w:bCs/>
                <w:sz w:val="24"/>
              </w:rPr>
            </w:pPr>
            <w:r>
              <w:rPr>
                <w:rFonts w:hint="eastAsia" w:ascii="宋体" w:hAnsi="宋体"/>
                <w:bCs/>
                <w:sz w:val="24"/>
              </w:rPr>
              <w:t>外环境各种存水容器和积水中，蚊幼虫及蛹的阳性率不超过3％。</w:t>
            </w:r>
          </w:p>
          <w:p>
            <w:pPr>
              <w:overflowPunct w:val="0"/>
              <w:autoSpaceDE w:val="0"/>
              <w:autoSpaceDN w:val="0"/>
              <w:adjustRightInd w:val="0"/>
              <w:spacing w:line="351" w:lineRule="atLeast"/>
              <w:ind w:firstLine="419"/>
              <w:jc w:val="left"/>
              <w:textAlignment w:val="baseline"/>
              <w:rPr>
                <w:rFonts w:ascii="宋体" w:hAnsi="宋体"/>
                <w:bCs/>
                <w:sz w:val="24"/>
              </w:rPr>
            </w:pPr>
            <w:r>
              <w:rPr>
                <w:rFonts w:hint="eastAsia" w:ascii="宋体" w:hAnsi="宋体"/>
                <w:bCs/>
                <w:sz w:val="24"/>
              </w:rPr>
              <w:t>随机场所白天人诱蚊30分钟，平均每人次诱获成蚊数不超过2只。</w:t>
            </w:r>
          </w:p>
        </w:tc>
        <w:tc>
          <w:tcPr>
            <w:tcW w:w="1842" w:type="dxa"/>
            <w:tcBorders>
              <w:bottom w:val="single" w:color="auto" w:sz="4" w:space="0"/>
            </w:tcBorders>
            <w:vAlign w:val="center"/>
          </w:tcPr>
          <w:p>
            <w:pPr>
              <w:overflowPunct w:val="0"/>
              <w:autoSpaceDE w:val="0"/>
              <w:autoSpaceDN w:val="0"/>
              <w:adjustRightInd w:val="0"/>
              <w:spacing w:line="440" w:lineRule="exact"/>
              <w:jc w:val="center"/>
              <w:textAlignment w:val="baseline"/>
              <w:outlineLvl w:val="1"/>
              <w:rPr>
                <w:rFonts w:ascii="宋体" w:hAnsi="宋体"/>
                <w:bCs/>
                <w:sz w:val="24"/>
              </w:rPr>
            </w:pPr>
            <w:r>
              <w:rPr>
                <w:rFonts w:hint="eastAsia" w:ascii="宋体" w:hAnsi="宋体"/>
                <w:bCs/>
                <w:sz w:val="24"/>
              </w:rPr>
              <w:t>容器检测法、</w:t>
            </w:r>
          </w:p>
          <w:p>
            <w:pPr>
              <w:overflowPunct w:val="0"/>
              <w:autoSpaceDE w:val="0"/>
              <w:autoSpaceDN w:val="0"/>
              <w:adjustRightInd w:val="0"/>
              <w:spacing w:line="440" w:lineRule="exact"/>
              <w:jc w:val="center"/>
              <w:textAlignment w:val="baseline"/>
              <w:outlineLvl w:val="1"/>
              <w:rPr>
                <w:rFonts w:ascii="宋体" w:hAnsi="宋体"/>
                <w:bCs/>
                <w:sz w:val="24"/>
              </w:rPr>
            </w:pPr>
            <w:r>
              <w:rPr>
                <w:rFonts w:hint="eastAsia" w:ascii="宋体" w:hAnsi="宋体"/>
                <w:bCs/>
                <w:sz w:val="24"/>
              </w:rPr>
              <w:t>诱集法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384" w:type="dxa"/>
            <w:vAlign w:val="center"/>
          </w:tcPr>
          <w:p>
            <w:pPr>
              <w:spacing w:line="440" w:lineRule="exact"/>
              <w:jc w:val="center"/>
              <w:rPr>
                <w:rFonts w:ascii="宋体" w:hAnsi="宋体"/>
                <w:bCs/>
                <w:sz w:val="24"/>
              </w:rPr>
            </w:pPr>
            <w:r>
              <w:rPr>
                <w:rFonts w:hint="eastAsia" w:ascii="宋体" w:hAnsi="宋体"/>
                <w:bCs/>
                <w:sz w:val="24"/>
              </w:rPr>
              <w:t>灭蝇</w:t>
            </w:r>
          </w:p>
        </w:tc>
        <w:tc>
          <w:tcPr>
            <w:tcW w:w="5387" w:type="dxa"/>
            <w:vAlign w:val="center"/>
          </w:tcPr>
          <w:p>
            <w:pPr>
              <w:overflowPunct w:val="0"/>
              <w:autoSpaceDE w:val="0"/>
              <w:autoSpaceDN w:val="0"/>
              <w:adjustRightInd w:val="0"/>
              <w:spacing w:line="351" w:lineRule="atLeast"/>
              <w:ind w:firstLine="419"/>
              <w:jc w:val="left"/>
              <w:textAlignment w:val="baseline"/>
              <w:rPr>
                <w:rFonts w:ascii="宋体" w:hAnsi="宋体"/>
                <w:bCs/>
                <w:sz w:val="24"/>
              </w:rPr>
            </w:pPr>
            <w:r>
              <w:rPr>
                <w:rFonts w:hint="eastAsia" w:ascii="宋体" w:hAnsi="宋体"/>
                <w:bCs/>
                <w:sz w:val="24"/>
              </w:rPr>
              <w:t>随机选取观察楼，有蝇房间不超过3％，平均每阳性房间不超过3只蝇类，幼虫和蛹的检出率不超过3％。</w:t>
            </w:r>
          </w:p>
        </w:tc>
        <w:tc>
          <w:tcPr>
            <w:tcW w:w="1842" w:type="dxa"/>
          </w:tcPr>
          <w:p>
            <w:pPr>
              <w:overflowPunct w:val="0"/>
              <w:autoSpaceDE w:val="0"/>
              <w:autoSpaceDN w:val="0"/>
              <w:adjustRightInd w:val="0"/>
              <w:spacing w:line="440" w:lineRule="exact"/>
              <w:jc w:val="center"/>
              <w:textAlignment w:val="baseline"/>
              <w:outlineLvl w:val="1"/>
              <w:rPr>
                <w:rFonts w:ascii="宋体" w:hAnsi="宋体"/>
                <w:bCs/>
                <w:sz w:val="24"/>
              </w:rPr>
            </w:pPr>
            <w:r>
              <w:rPr>
                <w:rFonts w:hint="eastAsia" w:ascii="宋体" w:hAnsi="宋体"/>
                <w:bCs/>
                <w:sz w:val="24"/>
              </w:rPr>
              <w:t>观察法、</w:t>
            </w:r>
          </w:p>
          <w:p>
            <w:pPr>
              <w:overflowPunct w:val="0"/>
              <w:autoSpaceDE w:val="0"/>
              <w:autoSpaceDN w:val="0"/>
              <w:adjustRightInd w:val="0"/>
              <w:spacing w:line="440" w:lineRule="exact"/>
              <w:jc w:val="center"/>
              <w:textAlignment w:val="baseline"/>
              <w:outlineLvl w:val="1"/>
              <w:rPr>
                <w:rFonts w:ascii="宋体" w:hAnsi="宋体"/>
                <w:bCs/>
                <w:sz w:val="24"/>
              </w:rPr>
            </w:pPr>
            <w:r>
              <w:rPr>
                <w:rFonts w:hint="eastAsia" w:ascii="宋体" w:hAnsi="宋体"/>
                <w:bCs/>
                <w:sz w:val="24"/>
              </w:rPr>
              <w:t>幼虫检测法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384" w:type="dxa"/>
            <w:vAlign w:val="center"/>
          </w:tcPr>
          <w:p>
            <w:pPr>
              <w:spacing w:line="440" w:lineRule="exact"/>
              <w:jc w:val="center"/>
              <w:rPr>
                <w:rFonts w:ascii="宋体" w:hAnsi="宋体"/>
                <w:bCs/>
                <w:sz w:val="24"/>
              </w:rPr>
            </w:pPr>
            <w:r>
              <w:rPr>
                <w:rFonts w:hint="eastAsia" w:ascii="宋体" w:hAnsi="宋体"/>
                <w:bCs/>
                <w:sz w:val="24"/>
              </w:rPr>
              <w:t>灭蟑螂</w:t>
            </w:r>
          </w:p>
        </w:tc>
        <w:tc>
          <w:tcPr>
            <w:tcW w:w="5387" w:type="dxa"/>
            <w:vAlign w:val="center"/>
          </w:tcPr>
          <w:p>
            <w:pPr>
              <w:overflowPunct w:val="0"/>
              <w:autoSpaceDE w:val="0"/>
              <w:autoSpaceDN w:val="0"/>
              <w:adjustRightInd w:val="0"/>
              <w:spacing w:line="351" w:lineRule="atLeast"/>
              <w:ind w:firstLine="419"/>
              <w:jc w:val="left"/>
              <w:textAlignment w:val="baseline"/>
              <w:rPr>
                <w:rFonts w:ascii="宋体" w:hAnsi="宋体"/>
                <w:bCs/>
                <w:sz w:val="24"/>
              </w:rPr>
            </w:pPr>
            <w:r>
              <w:rPr>
                <w:rFonts w:hint="eastAsia" w:ascii="宋体" w:hAnsi="宋体"/>
                <w:bCs/>
                <w:sz w:val="24"/>
              </w:rPr>
              <w:t>随机选取观察楼，平均每间房大蠊不超过3只，小蠊不超过8只。有活蟑螂卵鞘房间不超过5％。</w:t>
            </w:r>
          </w:p>
        </w:tc>
        <w:tc>
          <w:tcPr>
            <w:tcW w:w="1842" w:type="dxa"/>
            <w:vAlign w:val="center"/>
          </w:tcPr>
          <w:p>
            <w:pPr>
              <w:spacing w:line="440" w:lineRule="exact"/>
              <w:jc w:val="center"/>
              <w:rPr>
                <w:rFonts w:ascii="宋体" w:hAnsi="宋体"/>
                <w:bCs/>
                <w:sz w:val="24"/>
              </w:rPr>
            </w:pPr>
            <w:r>
              <w:rPr>
                <w:rFonts w:hint="eastAsia" w:ascii="宋体" w:hAnsi="宋体"/>
                <w:bCs/>
                <w:sz w:val="24"/>
              </w:rPr>
              <w:t>目测法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384" w:type="dxa"/>
            <w:vAlign w:val="center"/>
          </w:tcPr>
          <w:p>
            <w:pPr>
              <w:spacing w:line="440" w:lineRule="exact"/>
              <w:jc w:val="center"/>
              <w:rPr>
                <w:rFonts w:ascii="宋体" w:hAnsi="宋体"/>
                <w:bCs/>
                <w:sz w:val="24"/>
              </w:rPr>
            </w:pPr>
            <w:r>
              <w:rPr>
                <w:rFonts w:hint="eastAsia" w:ascii="宋体" w:hAnsi="宋体"/>
                <w:bCs/>
                <w:sz w:val="24"/>
              </w:rPr>
              <w:t>红火蚁</w:t>
            </w:r>
          </w:p>
        </w:tc>
        <w:tc>
          <w:tcPr>
            <w:tcW w:w="5387" w:type="dxa"/>
            <w:vAlign w:val="center"/>
          </w:tcPr>
          <w:p>
            <w:pPr>
              <w:spacing w:line="440" w:lineRule="exact"/>
              <w:ind w:firstLine="424" w:firstLineChars="177"/>
              <w:rPr>
                <w:rFonts w:ascii="宋体" w:hAnsi="宋体"/>
                <w:bCs/>
                <w:sz w:val="24"/>
              </w:rPr>
            </w:pPr>
            <w:r>
              <w:rPr>
                <w:rFonts w:hint="eastAsia" w:ascii="宋体" w:hAnsi="宋体"/>
                <w:bCs/>
                <w:sz w:val="24"/>
              </w:rPr>
              <w:t>诱集法评估，每个点投放火腿肠诱集瓶10个，30分钟回收，红火蚁活动数≤10%；目测检查防治区域内活动蚁巢≤1个/亩。</w:t>
            </w:r>
          </w:p>
        </w:tc>
        <w:tc>
          <w:tcPr>
            <w:tcW w:w="1842" w:type="dxa"/>
            <w:vAlign w:val="center"/>
          </w:tcPr>
          <w:p>
            <w:pPr>
              <w:spacing w:line="440" w:lineRule="exact"/>
              <w:jc w:val="center"/>
              <w:rPr>
                <w:rFonts w:ascii="宋体" w:hAnsi="宋体"/>
                <w:bCs/>
                <w:sz w:val="24"/>
              </w:rPr>
            </w:pPr>
            <w:r>
              <w:rPr>
                <w:rFonts w:hint="eastAsia" w:ascii="宋体" w:hAnsi="宋体"/>
                <w:bCs/>
                <w:sz w:val="24"/>
              </w:rPr>
              <w:t>诱集法</w:t>
            </w:r>
          </w:p>
          <w:p>
            <w:pPr>
              <w:spacing w:line="440" w:lineRule="exact"/>
              <w:jc w:val="center"/>
              <w:rPr>
                <w:rFonts w:ascii="宋体" w:hAnsi="宋体"/>
                <w:bCs/>
                <w:sz w:val="24"/>
              </w:rPr>
            </w:pPr>
            <w:r>
              <w:rPr>
                <w:rFonts w:hint="eastAsia" w:ascii="宋体" w:hAnsi="宋体"/>
                <w:bCs/>
                <w:sz w:val="24"/>
              </w:rPr>
              <w:t>目测法</w:t>
            </w:r>
          </w:p>
        </w:tc>
      </w:tr>
    </w:tbl>
    <w:p>
      <w:pPr>
        <w:spacing w:line="440" w:lineRule="exact"/>
        <w:ind w:firstLine="482" w:firstLineChars="200"/>
        <w:rPr>
          <w:rFonts w:ascii="宋体" w:hAnsi="宋体" w:cs="宋体"/>
          <w:b/>
          <w:bCs/>
          <w:kern w:val="0"/>
          <w:sz w:val="24"/>
        </w:rPr>
      </w:pPr>
      <w:r>
        <w:rPr>
          <w:rFonts w:hint="eastAsia" w:ascii="宋体" w:hAnsi="宋体" w:cs="宋体"/>
          <w:b/>
          <w:bCs/>
          <w:kern w:val="0"/>
          <w:sz w:val="24"/>
        </w:rPr>
        <w:t>9、投放饵料注意事项</w:t>
      </w:r>
    </w:p>
    <w:p>
      <w:pPr>
        <w:spacing w:line="440" w:lineRule="exact"/>
        <w:ind w:left="479" w:leftChars="228"/>
        <w:rPr>
          <w:rFonts w:ascii="宋体" w:hAnsi="宋体" w:cs="宋体"/>
          <w:kern w:val="0"/>
          <w:sz w:val="24"/>
        </w:rPr>
      </w:pPr>
      <w:r>
        <w:rPr>
          <w:rFonts w:hint="eastAsia" w:ascii="宋体" w:hAnsi="宋体" w:cs="宋体"/>
          <w:kern w:val="0"/>
          <w:sz w:val="24"/>
        </w:rPr>
        <w:t>9.1先放在老鼠经常出没的天花板及其它常走轨迹上。</w:t>
      </w:r>
    </w:p>
    <w:p>
      <w:pPr>
        <w:spacing w:line="440" w:lineRule="exact"/>
        <w:ind w:left="479" w:leftChars="228"/>
        <w:rPr>
          <w:rFonts w:ascii="宋体" w:hAnsi="宋体" w:cs="宋体"/>
          <w:kern w:val="0"/>
          <w:sz w:val="24"/>
        </w:rPr>
      </w:pPr>
      <w:r>
        <w:rPr>
          <w:rFonts w:hint="eastAsia" w:ascii="宋体" w:hAnsi="宋体" w:cs="宋体"/>
          <w:kern w:val="0"/>
          <w:sz w:val="24"/>
        </w:rPr>
        <w:t>9.2将鼠药成堆状放上。</w:t>
      </w:r>
    </w:p>
    <w:p>
      <w:pPr>
        <w:spacing w:line="440" w:lineRule="exact"/>
        <w:ind w:left="479" w:leftChars="228"/>
        <w:rPr>
          <w:rFonts w:ascii="宋体" w:hAnsi="宋体" w:cs="宋体"/>
          <w:kern w:val="0"/>
          <w:sz w:val="24"/>
        </w:rPr>
      </w:pPr>
      <w:r>
        <w:rPr>
          <w:rFonts w:hint="eastAsia" w:ascii="宋体" w:hAnsi="宋体" w:cs="宋体"/>
          <w:kern w:val="0"/>
          <w:sz w:val="24"/>
        </w:rPr>
        <w:t>9.3尽量放在隐蔽处或角落、小孩拿不到的地方。</w:t>
      </w:r>
    </w:p>
    <w:p>
      <w:pPr>
        <w:spacing w:line="440" w:lineRule="exact"/>
        <w:ind w:left="479" w:leftChars="228"/>
        <w:rPr>
          <w:rFonts w:ascii="宋体" w:hAnsi="宋体" w:cs="宋体"/>
          <w:kern w:val="0"/>
          <w:sz w:val="24"/>
        </w:rPr>
      </w:pPr>
      <w:r>
        <w:rPr>
          <w:rFonts w:hint="eastAsia" w:ascii="宋体" w:hAnsi="宋体" w:cs="宋体"/>
          <w:kern w:val="0"/>
          <w:sz w:val="24"/>
        </w:rPr>
        <w:t>9.4禁止成片或随意撒放。</w:t>
      </w:r>
    </w:p>
    <w:p>
      <w:pPr>
        <w:spacing w:line="440" w:lineRule="exact"/>
        <w:ind w:left="479" w:leftChars="228"/>
        <w:rPr>
          <w:rFonts w:ascii="宋体" w:hAnsi="宋体" w:cs="宋体"/>
          <w:kern w:val="0"/>
          <w:sz w:val="24"/>
        </w:rPr>
      </w:pPr>
      <w:r>
        <w:rPr>
          <w:rFonts w:hint="eastAsia" w:ascii="宋体" w:hAnsi="宋体" w:cs="宋体"/>
          <w:kern w:val="0"/>
          <w:sz w:val="24"/>
        </w:rPr>
        <w:t>9.5投放鼠药必须在保证安全的前提下进行，必要时挂上明显的标识。</w:t>
      </w:r>
    </w:p>
    <w:p>
      <w:pPr>
        <w:spacing w:line="440" w:lineRule="exact"/>
        <w:ind w:left="479" w:leftChars="228"/>
        <w:rPr>
          <w:rFonts w:ascii="宋体" w:hAnsi="宋体" w:cs="宋体"/>
          <w:kern w:val="0"/>
          <w:sz w:val="24"/>
        </w:rPr>
      </w:pPr>
      <w:r>
        <w:rPr>
          <w:rFonts w:hint="eastAsia" w:ascii="宋体" w:hAnsi="宋体" w:cs="宋体"/>
          <w:kern w:val="0"/>
          <w:sz w:val="24"/>
        </w:rPr>
        <w:t>9.6消杀期间委派专人捡拾死鼠进行无害化处理。</w:t>
      </w:r>
    </w:p>
    <w:p>
      <w:pPr>
        <w:spacing w:line="440" w:lineRule="exact"/>
        <w:ind w:left="479" w:leftChars="228"/>
        <w:rPr>
          <w:rFonts w:ascii="宋体" w:hAnsi="宋体" w:cs="宋体"/>
          <w:kern w:val="0"/>
          <w:sz w:val="24"/>
        </w:rPr>
      </w:pPr>
      <w:r>
        <w:rPr>
          <w:rFonts w:hint="eastAsia" w:ascii="宋体" w:hAnsi="宋体" w:cs="宋体"/>
          <w:kern w:val="0"/>
          <w:sz w:val="24"/>
        </w:rPr>
        <w:t>9.7消杀作业完毕，应将器具、药具统一清洗保管。</w:t>
      </w:r>
    </w:p>
    <w:p>
      <w:pPr>
        <w:spacing w:line="440" w:lineRule="exact"/>
        <w:ind w:firstLine="482" w:firstLineChars="200"/>
        <w:jc w:val="left"/>
        <w:rPr>
          <w:rFonts w:ascii="宋体" w:hAnsi="宋体" w:cs="宋体"/>
          <w:b/>
          <w:bCs/>
          <w:kern w:val="0"/>
          <w:sz w:val="24"/>
        </w:rPr>
      </w:pPr>
      <w:bookmarkStart w:id="2" w:name="_Toc403742741"/>
      <w:r>
        <w:rPr>
          <w:rFonts w:hint="eastAsia" w:ascii="宋体" w:hAnsi="宋体" w:cs="宋体"/>
          <w:b/>
          <w:bCs/>
          <w:kern w:val="0"/>
          <w:sz w:val="24"/>
        </w:rPr>
        <w:t>10、消杀管理规定</w:t>
      </w:r>
      <w:bookmarkEnd w:id="2"/>
    </w:p>
    <w:p>
      <w:pPr>
        <w:spacing w:line="440" w:lineRule="exact"/>
        <w:ind w:left="479" w:leftChars="228"/>
        <w:rPr>
          <w:rFonts w:ascii="宋体" w:hAnsi="宋体" w:cs="宋体"/>
          <w:kern w:val="0"/>
          <w:sz w:val="24"/>
        </w:rPr>
      </w:pPr>
      <w:r>
        <w:rPr>
          <w:rFonts w:hint="eastAsia" w:ascii="宋体" w:hAnsi="宋体" w:cs="宋体"/>
          <w:kern w:val="0"/>
          <w:sz w:val="24"/>
        </w:rPr>
        <w:t>10.1相关消杀管理规定为消杀工作及监督检查提供标准依据：</w:t>
      </w:r>
    </w:p>
    <w:p>
      <w:pPr>
        <w:spacing w:line="440" w:lineRule="exact"/>
        <w:ind w:left="479" w:leftChars="228"/>
        <w:rPr>
          <w:rFonts w:ascii="宋体" w:hAnsi="宋体" w:cs="宋体"/>
          <w:kern w:val="0"/>
          <w:sz w:val="24"/>
        </w:rPr>
      </w:pPr>
      <w:r>
        <w:rPr>
          <w:rFonts w:hint="eastAsia" w:ascii="宋体" w:hAnsi="宋体" w:cs="宋体"/>
          <w:kern w:val="0"/>
          <w:sz w:val="24"/>
        </w:rPr>
        <w:t>10.2使用高效低毒消杀用品，按比例配制，用背式喷雾器按要求喷洒。喷洒时应做好预防措施，穿长衣裤，戴口罩，完工后换衣裤，用肥皂洗手。</w:t>
      </w:r>
    </w:p>
    <w:p>
      <w:pPr>
        <w:spacing w:line="440" w:lineRule="exact"/>
        <w:ind w:left="479" w:leftChars="228"/>
        <w:rPr>
          <w:rFonts w:ascii="宋体" w:hAnsi="宋体" w:cs="宋体"/>
          <w:kern w:val="0"/>
          <w:sz w:val="24"/>
        </w:rPr>
      </w:pPr>
      <w:r>
        <w:rPr>
          <w:rFonts w:hint="eastAsia" w:ascii="宋体" w:hAnsi="宋体" w:cs="宋体"/>
          <w:kern w:val="0"/>
          <w:sz w:val="24"/>
        </w:rPr>
        <w:t>10.3消杀活动尽可能一般在非办公时间进行，如需在办公时间进行，应先征得同意后方可进行。投饵尽量放在隐蔽处或角落、儿童拿不到的地方，禁止成片或随意撒放。</w:t>
      </w:r>
    </w:p>
    <w:p>
      <w:pPr>
        <w:spacing w:line="440" w:lineRule="exact"/>
        <w:ind w:left="479" w:leftChars="228"/>
        <w:rPr>
          <w:rFonts w:ascii="宋体" w:hAnsi="宋体" w:cs="宋体"/>
          <w:kern w:val="0"/>
          <w:sz w:val="24"/>
        </w:rPr>
      </w:pPr>
      <w:r>
        <w:rPr>
          <w:rFonts w:hint="eastAsia" w:ascii="宋体" w:hAnsi="宋体" w:cs="宋体"/>
          <w:kern w:val="0"/>
          <w:sz w:val="24"/>
        </w:rPr>
        <w:t>10.4对广场、田径场以及校内等附件区域进行喷洒时，尽量在顺风处喷洒，以减少对行人的影响，投放药饵必须在保证安全的前提下进行，必要时挂上明显的标识。</w:t>
      </w:r>
    </w:p>
    <w:p>
      <w:pPr>
        <w:spacing w:line="440" w:lineRule="exact"/>
        <w:ind w:left="479" w:leftChars="228"/>
        <w:rPr>
          <w:rFonts w:ascii="宋体" w:hAnsi="宋体" w:cs="宋体"/>
          <w:kern w:val="0"/>
          <w:sz w:val="24"/>
        </w:rPr>
      </w:pPr>
      <w:r>
        <w:rPr>
          <w:rFonts w:hint="eastAsia" w:ascii="宋体" w:hAnsi="宋体" w:cs="宋体"/>
          <w:kern w:val="0"/>
          <w:sz w:val="24"/>
        </w:rPr>
        <w:t>10.5根据实际需要可以增加喷洒次数，并注意将被杀死的害虫尸体及时清除。</w:t>
      </w:r>
    </w:p>
    <w:p>
      <w:pPr>
        <w:spacing w:line="440" w:lineRule="exact"/>
        <w:ind w:left="479" w:leftChars="228"/>
        <w:rPr>
          <w:rFonts w:ascii="宋体" w:hAnsi="宋体" w:cs="宋体"/>
          <w:kern w:val="0"/>
          <w:sz w:val="24"/>
        </w:rPr>
      </w:pPr>
      <w:r>
        <w:rPr>
          <w:rFonts w:hint="eastAsia" w:ascii="宋体" w:hAnsi="宋体" w:cs="宋体"/>
          <w:kern w:val="0"/>
          <w:sz w:val="24"/>
        </w:rPr>
        <w:t>10.6每次消杀后进行检查并记录在《消杀记录表》上，存档。</w:t>
      </w:r>
    </w:p>
    <w:p>
      <w:pPr>
        <w:spacing w:line="440" w:lineRule="exact"/>
        <w:ind w:firstLine="480" w:firstLineChars="200"/>
        <w:rPr>
          <w:rFonts w:ascii="宋体" w:hAnsi="宋体" w:cs="宋体"/>
          <w:kern w:val="0"/>
          <w:sz w:val="24"/>
        </w:rPr>
      </w:pPr>
      <w:r>
        <w:rPr>
          <w:rFonts w:hint="eastAsia" w:ascii="宋体" w:hAnsi="宋体" w:cs="宋体"/>
          <w:kern w:val="0"/>
          <w:sz w:val="24"/>
        </w:rPr>
        <w:t>10.7 每次消杀完毕后施工人员递交现场施工报告签字并附上施工照片做好记录。</w:t>
      </w:r>
    </w:p>
    <w:p>
      <w:pPr>
        <w:widowControl/>
        <w:shd w:val="clear" w:color="auto" w:fill="FFFFFF"/>
        <w:wordWrap w:val="0"/>
        <w:spacing w:line="400" w:lineRule="exact"/>
        <w:ind w:firstLine="482" w:firstLineChars="200"/>
        <w:jc w:val="left"/>
        <w:rPr>
          <w:rFonts w:ascii="宋体" w:hAnsi="宋体"/>
          <w:b/>
          <w:bCs/>
          <w:sz w:val="24"/>
        </w:rPr>
      </w:pPr>
      <w:bookmarkStart w:id="3" w:name="_Toc293875608"/>
      <w:bookmarkStart w:id="4" w:name="_Toc403742742"/>
      <w:r>
        <w:rPr>
          <w:rFonts w:hint="eastAsia" w:ascii="宋体" w:hAnsi="宋体"/>
          <w:b/>
          <w:bCs/>
          <w:sz w:val="24"/>
        </w:rPr>
        <w:t>11、售后服务要求</w:t>
      </w:r>
      <w:bookmarkEnd w:id="3"/>
      <w:bookmarkEnd w:id="4"/>
    </w:p>
    <w:p>
      <w:pPr>
        <w:spacing w:line="440" w:lineRule="exact"/>
        <w:ind w:firstLine="424" w:firstLineChars="177"/>
        <w:rPr>
          <w:rFonts w:ascii="宋体" w:hAnsi="宋体"/>
          <w:sz w:val="24"/>
        </w:rPr>
      </w:pPr>
      <w:r>
        <w:rPr>
          <w:rFonts w:hint="eastAsia" w:ascii="宋体" w:hAnsi="宋体"/>
          <w:sz w:val="24"/>
        </w:rPr>
        <w:t>附表：灭鼠灭蟑重点消杀区域表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6"/>
        <w:gridCol w:w="379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312" w:hRule="atLeast"/>
          <w:jc w:val="center"/>
        </w:trPr>
        <w:tc>
          <w:tcPr>
            <w:tcW w:w="2941" w:type="pct"/>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施工地点</w:t>
            </w:r>
          </w:p>
        </w:tc>
        <w:tc>
          <w:tcPr>
            <w:tcW w:w="2051" w:type="pct"/>
            <w:vAlign w:val="center"/>
          </w:tcPr>
          <w:p>
            <w:pPr>
              <w:widowControl/>
              <w:jc w:val="center"/>
            </w:pPr>
            <w:r>
              <w:rPr>
                <w:rFonts w:hint="eastAsia" w:ascii="宋体"/>
                <w:kern w:val="28"/>
                <w:sz w:val="24"/>
                <w:shd w:val="clear" w:color="auto" w:fill="FFFFFF"/>
              </w:rPr>
              <w:t>外环境</w:t>
            </w:r>
            <w:r>
              <w:rPr>
                <w:rFonts w:hint="eastAsia" w:ascii="宋体"/>
                <w:sz w:val="24"/>
                <w:shd w:val="clear" w:color="auto" w:fill="FFFFFF"/>
              </w:rPr>
              <w:t>布点数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东苑</w:t>
            </w:r>
            <w:r>
              <w:rPr>
                <w:rFonts w:ascii="宋体"/>
                <w:sz w:val="24"/>
                <w:shd w:val="clear" w:color="auto" w:fill="FFFFFF"/>
              </w:rPr>
              <w:t>1-10</w:t>
            </w:r>
            <w:r>
              <w:rPr>
                <w:rFonts w:hint="eastAsia" w:ascii="宋体"/>
                <w:sz w:val="24"/>
                <w:shd w:val="clear" w:color="auto" w:fill="FFFFFF"/>
              </w:rPr>
              <w:t>号楼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东苑食堂</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北区科研楼片区（应用生态所、国重实验室、甘蔗所、新日鲜、益虫所等）</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3</w:t>
            </w:r>
            <w:r>
              <w:rPr>
                <w:rFonts w:ascii="宋体"/>
                <w:sz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北苑学生宿舍</w:t>
            </w:r>
            <w:r>
              <w:rPr>
                <w:rFonts w:ascii="宋体"/>
                <w:sz w:val="24"/>
                <w:shd w:val="clear" w:color="auto" w:fill="FFFFFF"/>
              </w:rPr>
              <w:t>6--8</w:t>
            </w:r>
            <w:r>
              <w:rPr>
                <w:rFonts w:hint="eastAsia" w:ascii="宋体"/>
                <w:sz w:val="24"/>
                <w:shd w:val="clear" w:color="auto" w:fill="FFFFFF"/>
              </w:rPr>
              <w:t>号楼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东区教工宿舍区</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学术交流中心</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生命科学院</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动物科学院</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映辉楼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农大幼儿园</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北区食堂</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南区食堂</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下安区桃山食堂</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南区青年餐厅</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北区</w:t>
            </w:r>
            <w:r>
              <w:rPr>
                <w:rFonts w:ascii="宋体"/>
                <w:sz w:val="24"/>
                <w:shd w:val="clear" w:color="auto" w:fill="FFFFFF"/>
              </w:rPr>
              <w:t>1—8</w:t>
            </w:r>
            <w:r>
              <w:rPr>
                <w:rFonts w:hint="eastAsia" w:ascii="宋体"/>
                <w:sz w:val="24"/>
                <w:shd w:val="clear" w:color="auto" w:fill="FFFFFF"/>
              </w:rPr>
              <w:t>号宿舍楼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3</w:t>
            </w:r>
            <w:r>
              <w:rPr>
                <w:rFonts w:ascii="宋体"/>
                <w:sz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北区</w:t>
            </w:r>
            <w:r>
              <w:rPr>
                <w:rFonts w:ascii="宋体"/>
                <w:sz w:val="24"/>
                <w:shd w:val="clear" w:color="auto" w:fill="FFFFFF"/>
              </w:rPr>
              <w:t>11</w:t>
            </w:r>
            <w:r>
              <w:rPr>
                <w:rFonts w:hint="eastAsia" w:ascii="宋体"/>
                <w:sz w:val="24"/>
                <w:shd w:val="clear" w:color="auto" w:fill="FFFFFF"/>
              </w:rPr>
              <w:t>宿舍楼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北区玫瑰园宿舍楼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西区教工宿舍楼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下安学生宿舍楼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南区学生宿舍区和公管学院</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南区菌草、医院办公区</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李常盛图书馆</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田间实验室（1-13号楼）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南区马列学院、派出所（原后勤处）、水电科、校礼堂</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2</w:t>
            </w:r>
            <w:r>
              <w:rPr>
                <w:rFonts w:ascii="宋体"/>
                <w:sz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博学楼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植保学院</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农学院</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动科学院、幼儿园</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w:t>
            </w:r>
            <w:r>
              <w:rPr>
                <w:rFonts w:hint="eastAsia" w:ascii="宋体"/>
                <w:sz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逸夫图书馆</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下安教学、实验区</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3</w:t>
            </w:r>
            <w:r>
              <w:rPr>
                <w:rFonts w:ascii="宋体"/>
                <w:sz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食品科学院</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明德楼（含南北附楼、禧强楼宝玲楼）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ascii="宋体"/>
                <w:sz w:val="24"/>
                <w:shd w:val="clear" w:color="auto" w:fill="FFFFFF"/>
              </w:rPr>
              <w:t>1</w:t>
            </w:r>
            <w:r>
              <w:rPr>
                <w:rFonts w:hint="eastAsia" w:ascii="宋体"/>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田家炳楼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创新楼</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pct"/>
            <w:tcBorders>
              <w:top w:val="single" w:color="auto" w:sz="4" w:space="0"/>
              <w:left w:val="single" w:color="auto" w:sz="4" w:space="0"/>
              <w:bottom w:val="single" w:color="auto" w:sz="4" w:space="0"/>
              <w:right w:val="single" w:color="auto" w:sz="4" w:space="0"/>
            </w:tcBorders>
          </w:tcPr>
          <w:p>
            <w:pPr>
              <w:autoSpaceDN w:val="0"/>
              <w:rPr>
                <w:rFonts w:ascii="宋体"/>
                <w:sz w:val="24"/>
                <w:shd w:val="clear" w:color="auto" w:fill="FFFFFF"/>
              </w:rPr>
            </w:pPr>
            <w:r>
              <w:rPr>
                <w:rFonts w:hint="eastAsia" w:ascii="宋体"/>
                <w:sz w:val="24"/>
                <w:shd w:val="clear" w:color="auto" w:fill="FFFFFF"/>
              </w:rPr>
              <w:t>其它（垃圾点，下水道，外围鼠类聚集地区）</w:t>
            </w:r>
          </w:p>
        </w:tc>
        <w:tc>
          <w:tcPr>
            <w:tcW w:w="2059" w:type="pct"/>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sz w:val="24"/>
                <w:shd w:val="clear" w:color="auto" w:fill="FFFFFF"/>
              </w:rPr>
            </w:pPr>
            <w:r>
              <w:rPr>
                <w:rFonts w:hint="eastAsia" w:ascii="宋体"/>
                <w:sz w:val="24"/>
                <w:shd w:val="clear" w:color="auto" w:fill="FFFFFF"/>
              </w:rPr>
              <w:t>按需布点</w:t>
            </w:r>
          </w:p>
        </w:tc>
      </w:tr>
    </w:tbl>
    <w:p>
      <w:pPr>
        <w:rPr>
          <w:b/>
          <w:bCs/>
          <w:sz w:val="24"/>
        </w:rPr>
      </w:pPr>
      <w:r>
        <w:rPr>
          <w:rFonts w:hint="eastAsia"/>
          <w:b/>
          <w:bCs/>
          <w:sz w:val="24"/>
        </w:rPr>
        <w:t>说明：</w:t>
      </w:r>
    </w:p>
    <w:p>
      <w:pPr>
        <w:spacing w:line="440" w:lineRule="exact"/>
        <w:ind w:firstLine="424" w:firstLineChars="177"/>
        <w:rPr>
          <w:rFonts w:ascii="宋体" w:hAnsi="宋体"/>
          <w:sz w:val="24"/>
        </w:rPr>
      </w:pPr>
      <w:r>
        <w:rPr>
          <w:rFonts w:hint="eastAsia" w:ascii="宋体" w:hAnsi="宋体"/>
          <w:sz w:val="24"/>
        </w:rPr>
        <w:t>1、检测标准不低于全国爱卫办除有害生物标准（1997）第5号文件规定。</w:t>
      </w:r>
    </w:p>
    <w:p>
      <w:pPr>
        <w:spacing w:line="440" w:lineRule="exact"/>
        <w:ind w:firstLine="424" w:firstLineChars="177"/>
        <w:rPr>
          <w:rFonts w:ascii="宋体" w:hAnsi="宋体"/>
          <w:sz w:val="24"/>
        </w:rPr>
      </w:pPr>
      <w:r>
        <w:rPr>
          <w:rFonts w:hint="eastAsia" w:ascii="宋体" w:hAnsi="宋体"/>
          <w:sz w:val="24"/>
        </w:rPr>
        <w:t>2、</w:t>
      </w:r>
      <w:r>
        <w:rPr>
          <w:rFonts w:ascii="宋体" w:hAnsi="宋体"/>
          <w:sz w:val="24"/>
        </w:rPr>
        <w:t>时间安排</w:t>
      </w:r>
      <w:r>
        <w:rPr>
          <w:rFonts w:hint="eastAsia" w:ascii="宋体" w:hAnsi="宋体"/>
          <w:sz w:val="24"/>
        </w:rPr>
        <w:t>：施工具体时间以不影响采购人的正常</w:t>
      </w:r>
      <w:r>
        <w:rPr>
          <w:rFonts w:ascii="宋体" w:hAnsi="宋体"/>
          <w:sz w:val="24"/>
        </w:rPr>
        <w:t>工作</w:t>
      </w:r>
      <w:r>
        <w:rPr>
          <w:rFonts w:hint="eastAsia" w:ascii="宋体" w:hAnsi="宋体"/>
          <w:sz w:val="24"/>
        </w:rPr>
        <w:t>为准则，消杀工作时保证环境的整洁和卫生。</w:t>
      </w:r>
    </w:p>
    <w:p>
      <w:pPr>
        <w:spacing w:line="440" w:lineRule="exact"/>
        <w:ind w:firstLine="426" w:firstLineChars="177"/>
        <w:rPr>
          <w:rFonts w:ascii="宋体" w:hAnsi="宋体"/>
          <w:b/>
          <w:sz w:val="24"/>
        </w:rPr>
      </w:pPr>
      <w:r>
        <w:rPr>
          <w:rFonts w:hint="eastAsia" w:ascii="宋体" w:hAnsi="宋体"/>
          <w:b/>
          <w:sz w:val="24"/>
        </w:rPr>
        <w:t>3、校金山校区本部其他未列举区域发现有害生物疫情时，或上级卫生、疾控等行政部门布置消杀任务时</w:t>
      </w:r>
      <w:r>
        <w:rPr>
          <w:rFonts w:hint="eastAsia" w:ascii="宋体" w:hAnsi="宋体"/>
          <w:b/>
          <w:color w:val="auto"/>
          <w:sz w:val="24"/>
        </w:rPr>
        <w:t>，成交供应商</w:t>
      </w:r>
      <w:r>
        <w:rPr>
          <w:rFonts w:hint="eastAsia" w:ascii="宋体" w:hAnsi="宋体"/>
          <w:b/>
          <w:sz w:val="24"/>
        </w:rPr>
        <w:t>根据具体需要必须增加施工次数和区域，并达到有关部门的消杀标准，不另外收费，包干于合同价内进行消杀，需针对此项做相应的书面承诺，未承诺的其投标无效。</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sz w:val="24"/>
          <w:szCs w:val="24"/>
        </w:rPr>
      </w:pPr>
      <w:r>
        <w:rPr>
          <w:rFonts w:hint="eastAsia" w:ascii="宋体" w:hAnsi="宋体"/>
          <w:sz w:val="24"/>
          <w:szCs w:val="24"/>
        </w:rPr>
        <w:t>1、服务地点：福建农林大学指定地点。</w:t>
      </w:r>
    </w:p>
    <w:p>
      <w:pPr>
        <w:spacing w:line="440" w:lineRule="exact"/>
        <w:ind w:firstLine="480" w:firstLineChars="200"/>
        <w:rPr>
          <w:rFonts w:ascii="宋体" w:hAnsi="宋体"/>
          <w:sz w:val="24"/>
        </w:rPr>
      </w:pPr>
      <w:r>
        <w:rPr>
          <w:rFonts w:hint="eastAsia" w:ascii="宋体" w:hAnsi="宋体"/>
          <w:sz w:val="24"/>
          <w:szCs w:val="24"/>
        </w:rPr>
        <w:t>2、服务时间：服务期自2023年12月至2025年9月（共计22个月）。</w:t>
      </w:r>
    </w:p>
    <w:p>
      <w:pPr>
        <w:pStyle w:val="19"/>
        <w:spacing w:after="0" w:line="440" w:lineRule="exact"/>
        <w:ind w:left="0" w:leftChars="0" w:firstLine="480"/>
        <w:rPr>
          <w:rFonts w:ascii="宋体" w:hAnsi="宋体"/>
        </w:rPr>
      </w:pPr>
      <w:r>
        <w:rPr>
          <w:rFonts w:hint="eastAsia" w:ascii="宋体" w:hAnsi="宋体"/>
          <w:sz w:val="24"/>
        </w:rPr>
        <w:t>3、交付条件：按照竞价文件要求完成服务，经采购人验收合格完成。</w:t>
      </w:r>
    </w:p>
    <w:p>
      <w:pPr>
        <w:spacing w:line="440" w:lineRule="exact"/>
        <w:ind w:firstLine="480" w:firstLineChars="200"/>
        <w:rPr>
          <w:rFonts w:ascii="宋体" w:hAnsi="宋体"/>
          <w:sz w:val="24"/>
          <w:szCs w:val="24"/>
        </w:rPr>
      </w:pPr>
      <w:r>
        <w:rPr>
          <w:rFonts w:hint="eastAsia" w:ascii="宋体" w:hAnsi="宋体"/>
          <w:sz w:val="24"/>
          <w:szCs w:val="24"/>
        </w:rPr>
        <w:t>4、履约保证金：</w:t>
      </w:r>
    </w:p>
    <w:p>
      <w:pPr>
        <w:spacing w:line="440" w:lineRule="exact"/>
        <w:ind w:firstLine="481"/>
        <w:rPr>
          <w:rFonts w:ascii="宋体" w:hAnsi="宋体"/>
          <w:sz w:val="24"/>
          <w:szCs w:val="24"/>
        </w:rPr>
      </w:pPr>
      <w:r>
        <w:rPr>
          <w:rFonts w:hint="eastAsia" w:ascii="宋体" w:hAnsi="宋体"/>
          <w:sz w:val="24"/>
          <w:szCs w:val="24"/>
        </w:rPr>
        <w:t>履约保证金百分比：</w:t>
      </w:r>
      <w:r>
        <w:rPr>
          <w:rFonts w:hint="eastAsia" w:ascii="宋体" w:hAnsi="宋体"/>
          <w:sz w:val="24"/>
          <w:szCs w:val="24"/>
          <w:u w:val="single"/>
        </w:rPr>
        <w:t xml:space="preserve"> 3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3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75" w:firstLineChars="198"/>
        <w:rPr>
          <w:rFonts w:ascii="宋体" w:hAnsi="宋体"/>
          <w:b/>
          <w:sz w:val="24"/>
        </w:rPr>
      </w:pPr>
      <w:r>
        <w:rPr>
          <w:rFonts w:hint="eastAsia" w:ascii="宋体" w:hAnsi="宋体"/>
          <w:sz w:val="24"/>
          <w:szCs w:val="24"/>
        </w:rPr>
        <w:t>5、付款方式：</w:t>
      </w:r>
      <w:r>
        <w:rPr>
          <w:rFonts w:ascii="宋体" w:hAnsi="宋体" w:eastAsia="宋体" w:cs="宋体"/>
          <w:sz w:val="24"/>
          <w:szCs w:val="24"/>
        </w:rPr>
        <w:t>按合同要求验收合格一个月后，无质量问题下一次性全额付款。（成交供应商须提供全额正规发票。）</w:t>
      </w:r>
    </w:p>
    <w:p>
      <w:pPr>
        <w:spacing w:line="440" w:lineRule="exact"/>
        <w:ind w:left="481"/>
        <w:rPr>
          <w:rFonts w:ascii="宋体" w:hAnsi="宋体"/>
          <w:sz w:val="24"/>
          <w:szCs w:val="24"/>
        </w:rPr>
      </w:pPr>
      <w:r>
        <w:rPr>
          <w:rFonts w:hint="eastAsia" w:ascii="宋体" w:hAnsi="宋体"/>
          <w:sz w:val="24"/>
          <w:szCs w:val="24"/>
        </w:rPr>
        <w:t>6、服务标准：</w:t>
      </w:r>
    </w:p>
    <w:p>
      <w:pPr>
        <w:spacing w:line="440" w:lineRule="exact"/>
        <w:ind w:firstLine="480" w:firstLineChars="200"/>
        <w:rPr>
          <w:rFonts w:ascii="宋体" w:hAnsi="宋体"/>
          <w:sz w:val="24"/>
          <w:szCs w:val="24"/>
        </w:rPr>
      </w:pPr>
      <w:r>
        <w:rPr>
          <w:rFonts w:hint="eastAsia" w:ascii="宋体" w:hAnsi="宋体"/>
          <w:sz w:val="24"/>
          <w:szCs w:val="24"/>
        </w:rPr>
        <w:t>成交供应商所提供的服务必须符合国家、省及行业有关标准和竞价文件要求。成交供应商不按合同约定提交服务所产生的任何费用由成交供应商负责，采购人对由此所引起的变动可以不予确认。</w:t>
      </w:r>
    </w:p>
    <w:p>
      <w:pPr>
        <w:spacing w:line="440" w:lineRule="exact"/>
        <w:ind w:firstLine="481"/>
        <w:rPr>
          <w:rFonts w:ascii="宋体" w:hAnsi="宋体"/>
          <w:sz w:val="24"/>
          <w:szCs w:val="24"/>
        </w:rPr>
      </w:pPr>
      <w:r>
        <w:rPr>
          <w:rFonts w:hint="eastAsia" w:ascii="宋体" w:hAnsi="宋体"/>
          <w:sz w:val="24"/>
          <w:szCs w:val="24"/>
        </w:rPr>
        <w:t>7、质量保证及售后服务要求</w:t>
      </w:r>
    </w:p>
    <w:p>
      <w:pPr>
        <w:widowControl/>
        <w:shd w:val="clear" w:color="auto" w:fill="FFFFFF"/>
        <w:wordWrap w:val="0"/>
        <w:spacing w:line="400" w:lineRule="exact"/>
        <w:ind w:firstLine="480" w:firstLineChars="200"/>
        <w:jc w:val="left"/>
        <w:rPr>
          <w:rFonts w:ascii="宋体" w:hAnsi="宋体"/>
          <w:sz w:val="24"/>
        </w:rPr>
      </w:pPr>
      <w:r>
        <w:rPr>
          <w:rFonts w:hint="eastAsia" w:ascii="宋体" w:hAnsi="宋体"/>
          <w:sz w:val="24"/>
        </w:rPr>
        <w:t>7.1须提供常设全年每天24小时热线服务和免费技术支持。接到客户电话后，工作日响应时间为1小时，12小时内到达现场；非工作日响应时间为2小时，24小时内安排专业技术人员上门处理。超过时间采购人可以对有害生物疫情可自行处理，费用从合同金额中扣除。</w:t>
      </w:r>
    </w:p>
    <w:p>
      <w:pPr>
        <w:widowControl/>
        <w:shd w:val="clear" w:color="auto" w:fill="FFFFFF"/>
        <w:wordWrap w:val="0"/>
        <w:spacing w:line="400" w:lineRule="exact"/>
        <w:ind w:firstLine="480" w:firstLineChars="200"/>
        <w:jc w:val="left"/>
        <w:rPr>
          <w:rFonts w:ascii="宋体" w:hAnsi="宋体"/>
          <w:sz w:val="24"/>
        </w:rPr>
      </w:pPr>
      <w:r>
        <w:rPr>
          <w:rFonts w:hint="eastAsia" w:ascii="宋体" w:hAnsi="宋体"/>
          <w:sz w:val="24"/>
        </w:rPr>
        <w:t>7.2 竞价人可视自身能力在响应文件中提供更优、更合理的</w:t>
      </w:r>
      <w:bookmarkStart w:id="5" w:name="_GoBack"/>
      <w:bookmarkEnd w:id="5"/>
      <w:r>
        <w:rPr>
          <w:rFonts w:hint="eastAsia" w:ascii="宋体" w:hAnsi="宋体"/>
          <w:sz w:val="24"/>
        </w:rPr>
        <w:t>服务承诺。</w:t>
      </w:r>
    </w:p>
    <w:p>
      <w:pPr>
        <w:spacing w:line="440" w:lineRule="exact"/>
        <w:ind w:firstLine="481"/>
        <w:rPr>
          <w:rFonts w:ascii="宋体" w:hAnsi="宋体"/>
          <w:b/>
          <w:bCs/>
          <w:sz w:val="24"/>
          <w:szCs w:val="24"/>
        </w:rPr>
      </w:pPr>
      <w:r>
        <w:rPr>
          <w:rFonts w:hint="eastAsia" w:ascii="宋体" w:hAnsi="宋体"/>
          <w:b/>
          <w:bCs/>
          <w:sz w:val="24"/>
          <w:szCs w:val="24"/>
        </w:rPr>
        <w:t>8、验收</w:t>
      </w:r>
    </w:p>
    <w:p>
      <w:pPr>
        <w:spacing w:line="440" w:lineRule="exact"/>
        <w:ind w:firstLine="481"/>
        <w:rPr>
          <w:rFonts w:ascii="宋体" w:hAnsi="宋体"/>
          <w:sz w:val="24"/>
          <w:szCs w:val="24"/>
        </w:rPr>
      </w:pPr>
      <w:r>
        <w:rPr>
          <w:rFonts w:hint="eastAsia" w:ascii="宋体" w:hAnsi="宋体"/>
          <w:sz w:val="24"/>
          <w:szCs w:val="24"/>
        </w:rPr>
        <w:t>8.1.1采购人最终用户负责服务的验收。详见竞价文件、成交供应商报价文件。</w:t>
      </w:r>
    </w:p>
    <w:p>
      <w:pPr>
        <w:spacing w:line="440" w:lineRule="exact"/>
        <w:ind w:firstLine="481"/>
        <w:rPr>
          <w:rFonts w:ascii="宋体" w:hAnsi="宋体"/>
          <w:sz w:val="24"/>
          <w:szCs w:val="24"/>
        </w:rPr>
      </w:pPr>
      <w:r>
        <w:rPr>
          <w:rFonts w:hint="eastAsia" w:ascii="宋体" w:hAnsi="宋体"/>
          <w:sz w:val="24"/>
          <w:szCs w:val="24"/>
        </w:rPr>
        <w:t>8.1.2验收结果经采购人与成交供应商双方确认后，采购人最终用户在验收材料上加盖单位公章后，提交相关主管部门备案。</w:t>
      </w:r>
    </w:p>
    <w:p>
      <w:pPr>
        <w:spacing w:line="440" w:lineRule="exact"/>
        <w:ind w:firstLine="481"/>
        <w:rPr>
          <w:rFonts w:ascii="宋体" w:hAnsi="宋体"/>
          <w:sz w:val="24"/>
          <w:szCs w:val="24"/>
        </w:rPr>
      </w:pPr>
      <w:r>
        <w:rPr>
          <w:rFonts w:hint="eastAsia" w:ascii="宋体" w:hAnsi="宋体"/>
          <w:sz w:val="24"/>
          <w:szCs w:val="24"/>
        </w:rPr>
        <w:t>8.1.3异议期：服务期内采购人对服务有异议的，成交供应商应在2个工作日内负责整改解决，否则视为成交供应商根本违约。</w:t>
      </w:r>
    </w:p>
    <w:p>
      <w:pPr>
        <w:spacing w:line="440" w:lineRule="exact"/>
        <w:ind w:firstLine="481"/>
        <w:rPr>
          <w:rFonts w:ascii="宋体" w:hAnsi="宋体"/>
          <w:b/>
          <w:bCs/>
          <w:sz w:val="24"/>
          <w:szCs w:val="24"/>
        </w:rPr>
      </w:pPr>
      <w:r>
        <w:rPr>
          <w:rFonts w:hint="eastAsia" w:ascii="宋体" w:hAnsi="宋体"/>
          <w:b/>
          <w:bCs/>
          <w:sz w:val="24"/>
          <w:szCs w:val="24"/>
        </w:rPr>
        <w:t>9、违约责任</w:t>
      </w:r>
    </w:p>
    <w:p>
      <w:pPr>
        <w:spacing w:line="440" w:lineRule="exact"/>
        <w:ind w:firstLine="481"/>
        <w:rPr>
          <w:rFonts w:ascii="宋体" w:hAnsi="宋体"/>
          <w:sz w:val="24"/>
          <w:szCs w:val="24"/>
        </w:rPr>
      </w:pPr>
      <w:r>
        <w:rPr>
          <w:rFonts w:hint="eastAsia" w:ascii="宋体" w:hAnsi="宋体"/>
          <w:sz w:val="24"/>
          <w:szCs w:val="24"/>
        </w:rPr>
        <w:t>9.1成交供应商符合验收条件的，采购人应严格按照竞价文件要求在双方约定的时间内进行验收，采购人无正当理由不得无故拖延验收时间。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sz w:val="24"/>
          <w:szCs w:val="24"/>
        </w:rPr>
      </w:pPr>
      <w:r>
        <w:rPr>
          <w:rFonts w:hint="eastAsia" w:ascii="宋体" w:hAnsi="宋体"/>
          <w:sz w:val="24"/>
          <w:szCs w:val="24"/>
        </w:rPr>
        <w:t>9.2成交供应商所提供的服务不符合合同要求的，采购人有权要求整改，在规定时间内未完成整改的，没收其履约保证金，采购人有权单方面解除合同。</w:t>
      </w:r>
    </w:p>
    <w:p>
      <w:pPr>
        <w:spacing w:line="440" w:lineRule="exact"/>
        <w:ind w:firstLine="481"/>
        <w:rPr>
          <w:rFonts w:ascii="宋体" w:hAnsi="宋体"/>
          <w:sz w:val="24"/>
          <w:szCs w:val="24"/>
        </w:rPr>
      </w:pPr>
      <w:r>
        <w:rPr>
          <w:rFonts w:hint="eastAsia" w:ascii="宋体" w:hAnsi="宋体"/>
          <w:sz w:val="24"/>
          <w:szCs w:val="24"/>
        </w:rPr>
        <w:t xml:space="preserve">9.3成交供应商不能按时完整交付服务的，采购人有权没收其履约保证金，成交供应商逾期交付服务，应向采购人每日偿付合同款5‰的违约金，逾期超过15日的，采购人有权单方解除合同。 </w:t>
      </w:r>
    </w:p>
    <w:p>
      <w:pPr>
        <w:spacing w:line="440" w:lineRule="exact"/>
        <w:ind w:firstLine="481"/>
        <w:rPr>
          <w:rFonts w:ascii="宋体" w:hAnsi="宋体"/>
          <w:sz w:val="24"/>
          <w:szCs w:val="24"/>
        </w:rPr>
      </w:pPr>
      <w:r>
        <w:rPr>
          <w:rFonts w:hint="eastAsia" w:ascii="宋体" w:hAnsi="宋体"/>
          <w:sz w:val="24"/>
          <w:szCs w:val="24"/>
        </w:rPr>
        <w:t>9.4成交供应商未经采购人同意单方面终止合同的，成交供应商除了应向采购人赔偿因合同终止导致的损失外，还应向采购人偿付该合同款30%的违约金。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rPr>
      </w:pPr>
      <w:r>
        <w:rPr>
          <w:rFonts w:hint="eastAsia" w:ascii="宋体" w:hAnsi="宋体"/>
          <w:sz w:val="24"/>
          <w:szCs w:val="24"/>
        </w:rPr>
        <w:t>9.5因成交供应商违约对采购人造成损失的赔偿金及合同约定的违约金均可由采购人从未支付的合同款或履约保证金中扣除。</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10、知识产权 </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10.1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10.2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11、其它要求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11.2竞价人应以包括本项目所涉及的有关项目的所有费用进行报价，包括：报价应包含           。</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4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本项目采购代理服务费以成交金额的1.5%向成交供应商收取。</w:t>
      </w:r>
    </w:p>
    <w:p>
      <w:pPr>
        <w:spacing w:line="44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spacing w:line="440" w:lineRule="exact"/>
        <w:ind w:firstLine="480"/>
        <w:rPr>
          <w:rFonts w:ascii="宋体" w:hAnsi="宋体"/>
          <w:sz w:val="24"/>
        </w:rPr>
      </w:pPr>
      <w:r>
        <w:rPr>
          <w:rFonts w:hint="eastAsia" w:ascii="宋体" w:hAnsi="宋体"/>
          <w:sz w:val="24"/>
        </w:rPr>
        <w:t xml:space="preserve">开 户 名：福建方兴招标代理有限公司 </w:t>
      </w:r>
    </w:p>
    <w:p>
      <w:pPr>
        <w:spacing w:line="440" w:lineRule="exact"/>
        <w:ind w:firstLine="480"/>
        <w:rPr>
          <w:rFonts w:ascii="宋体" w:hAnsi="宋体"/>
          <w:sz w:val="24"/>
        </w:rPr>
      </w:pPr>
      <w:r>
        <w:rPr>
          <w:rFonts w:hint="eastAsia" w:ascii="宋体" w:hAnsi="宋体"/>
          <w:sz w:val="24"/>
        </w:rPr>
        <w:t xml:space="preserve">开 户 行：兴业银行总行营业部 </w:t>
      </w:r>
    </w:p>
    <w:p>
      <w:pPr>
        <w:spacing w:line="440" w:lineRule="exact"/>
        <w:ind w:firstLine="480"/>
        <w:rPr>
          <w:rFonts w:ascii="宋体" w:hAnsi="宋体"/>
          <w:sz w:val="24"/>
        </w:rPr>
      </w:pPr>
      <w:r>
        <w:rPr>
          <w:rFonts w:hint="eastAsia" w:ascii="宋体" w:hAnsi="宋体"/>
          <w:sz w:val="24"/>
        </w:rPr>
        <w:t>账 号： 1170 1010 0100 0032 02。</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60" w:lineRule="auto"/>
        <w:ind w:firstLine="480" w:firstLineChars="200"/>
        <w:jc w:val="left"/>
        <w:rPr>
          <w:rFonts w:ascii="宋体" w:hAnsi="宋体"/>
          <w:sz w:val="24"/>
        </w:rPr>
      </w:pPr>
      <w:r>
        <w:rPr>
          <w:rFonts w:hint="eastAsia" w:ascii="宋体" w:hAnsi="宋体"/>
          <w:sz w:val="24"/>
        </w:rPr>
        <w:t>详见网上竞价文件第二章。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60" w:lineRule="auto"/>
        <w:ind w:firstLine="480" w:firstLineChars="200"/>
        <w:jc w:val="left"/>
        <w:rPr>
          <w:rFonts w:ascii="宋体" w:hAnsi="宋体"/>
          <w:sz w:val="24"/>
        </w:rPr>
      </w:pPr>
      <w:r>
        <w:rPr>
          <w:rFonts w:hint="eastAsia" w:ascii="宋体" w:hAnsi="宋体"/>
          <w:sz w:val="24"/>
        </w:rPr>
        <w:t>1、竞价人应在报名截止时间前在</w:t>
      </w:r>
      <w:r>
        <w:rPr>
          <w:rFonts w:hint="eastAsia" w:ascii="宋体" w:hAnsi="宋体"/>
          <w:bCs/>
          <w:kern w:val="0"/>
          <w:sz w:val="24"/>
        </w:rPr>
        <w:t>福建方兴招标代理有限公司</w:t>
      </w:r>
      <w:r>
        <w:rPr>
          <w:rFonts w:hint="eastAsia" w:ascii="宋体" w:hAnsi="宋体"/>
          <w:sz w:val="24"/>
        </w:rPr>
        <w:t>网上竞价平台上注册，并针对该项目报名（</w:t>
      </w:r>
      <w:r>
        <w:rPr>
          <w:rFonts w:hint="eastAsia" w:ascii="宋体" w:hAnsi="宋体"/>
          <w:bCs/>
          <w:kern w:val="0"/>
          <w:sz w:val="24"/>
        </w:rPr>
        <w:t>请潜在竞价人前往福建方兴招标代理有限公司网站本项目竞价公告上自行下载网上竞价文件</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2、按“（二）</w:t>
      </w:r>
      <w:r>
        <w:rPr>
          <w:rFonts w:hint="eastAsia" w:ascii="宋体" w:hAnsi="宋体"/>
          <w:kern w:val="0"/>
          <w:sz w:val="24"/>
        </w:rPr>
        <w:t>合格的竞价竞价人”要求中所列材料并逐页</w:t>
      </w:r>
      <w:r>
        <w:rPr>
          <w:rFonts w:hint="eastAsia" w:ascii="宋体" w:hAnsi="宋体"/>
          <w:sz w:val="24"/>
        </w:rPr>
        <w:t>加盖竞价人公章（复印件应注明与原件一致），在上传报名材料截止时间前上传报名材料，报名材料未按以上要求提交的竞价人，</w:t>
      </w:r>
      <w:r>
        <w:rPr>
          <w:rFonts w:hint="eastAsia" w:ascii="宋体" w:hAnsi="宋体"/>
          <w:b/>
          <w:bCs/>
          <w:sz w:val="24"/>
        </w:rPr>
        <w:t>将导致其竞价资格被拒绝。</w:t>
      </w:r>
    </w:p>
    <w:p>
      <w:pPr>
        <w:widowControl/>
        <w:spacing w:line="360" w:lineRule="auto"/>
        <w:ind w:firstLine="480" w:firstLineChars="200"/>
        <w:jc w:val="left"/>
        <w:rPr>
          <w:rFonts w:ascii="宋体" w:hAnsi="宋体"/>
          <w:sz w:val="24"/>
        </w:rPr>
      </w:pPr>
      <w:r>
        <w:rPr>
          <w:rFonts w:hint="eastAsia" w:ascii="宋体" w:hAnsi="宋体"/>
          <w:sz w:val="24"/>
        </w:rPr>
        <w:t>3、材料上传后进行审核，审核通过后方可在竞价平台上竞价。</w:t>
      </w:r>
    </w:p>
    <w:p>
      <w:pPr>
        <w:widowControl/>
        <w:spacing w:line="360" w:lineRule="auto"/>
        <w:ind w:firstLine="480" w:firstLineChars="200"/>
        <w:jc w:val="left"/>
        <w:rPr>
          <w:rFonts w:ascii="宋体" w:hAnsi="宋体"/>
          <w:sz w:val="24"/>
        </w:rPr>
      </w:pPr>
      <w:r>
        <w:rPr>
          <w:rFonts w:hint="eastAsia" w:ascii="宋体" w:hAnsi="宋体"/>
          <w:sz w:val="24"/>
        </w:rPr>
        <w:t>4、竞价人报名时间：2023年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7</w:t>
      </w:r>
      <w:r>
        <w:rPr>
          <w:rFonts w:hint="eastAsia" w:ascii="宋体" w:hAnsi="宋体"/>
          <w:sz w:val="24"/>
        </w:rPr>
        <w:t>日08:00起至2023年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11</w:t>
      </w:r>
      <w:r>
        <w:rPr>
          <w:rFonts w:hint="eastAsia" w:ascii="宋体" w:hAnsi="宋体"/>
          <w:sz w:val="24"/>
        </w:rPr>
        <w:t>日17:30止(北京时间)。</w:t>
      </w:r>
    </w:p>
    <w:p>
      <w:pPr>
        <w:widowControl/>
        <w:spacing w:line="360" w:lineRule="auto"/>
        <w:ind w:left="239" w:leftChars="114" w:firstLine="240" w:firstLineChars="100"/>
        <w:jc w:val="left"/>
        <w:rPr>
          <w:rFonts w:ascii="宋体" w:hAnsi="宋体"/>
          <w:sz w:val="24"/>
        </w:rPr>
      </w:pPr>
      <w:r>
        <w:rPr>
          <w:rFonts w:hint="eastAsia" w:ascii="宋体" w:hAnsi="宋体"/>
          <w:sz w:val="24"/>
        </w:rPr>
        <w:t>5、竞价人上传报名审核材料的时间为2023年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7</w:t>
      </w:r>
      <w:r>
        <w:rPr>
          <w:rFonts w:hint="eastAsia" w:ascii="宋体" w:hAnsi="宋体"/>
          <w:sz w:val="24"/>
        </w:rPr>
        <w:t>日08:00起至2023年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11</w:t>
      </w:r>
      <w:r>
        <w:rPr>
          <w:rFonts w:hint="eastAsia" w:ascii="宋体" w:hAnsi="宋体"/>
          <w:sz w:val="24"/>
        </w:rPr>
        <w:t>日17:30止(北京时间)，竞价人应在此之前将报名材料上传至福建方兴招标代理有限公司网站（http://www.fjfxzbdl.com/），</w:t>
      </w:r>
      <w:r>
        <w:rPr>
          <w:rFonts w:hint="eastAsia" w:ascii="宋体" w:hAnsi="宋体"/>
          <w:b/>
          <w:bCs/>
          <w:sz w:val="24"/>
        </w:rPr>
        <w:t>逾期上传的或不符合规定的报名材料将审核不通过。</w:t>
      </w:r>
    </w:p>
    <w:p>
      <w:pPr>
        <w:widowControl/>
        <w:spacing w:line="360" w:lineRule="auto"/>
        <w:ind w:firstLine="480" w:firstLineChars="200"/>
        <w:jc w:val="left"/>
        <w:rPr>
          <w:rFonts w:ascii="宋体" w:hAnsi="宋体"/>
          <w:b/>
          <w:bCs/>
          <w:sz w:val="24"/>
        </w:rPr>
      </w:pPr>
      <w:r>
        <w:rPr>
          <w:rFonts w:hint="eastAsia" w:ascii="宋体" w:hAnsi="宋体"/>
          <w:sz w:val="24"/>
        </w:rPr>
        <w:t>6、竞价时间：2023年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12</w:t>
      </w:r>
      <w:r>
        <w:rPr>
          <w:rFonts w:hint="eastAsia" w:ascii="宋体" w:hAnsi="宋体"/>
          <w:sz w:val="24"/>
        </w:rPr>
        <w:t>日09:00起至2023年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12</w:t>
      </w:r>
      <w:r>
        <w:rPr>
          <w:rFonts w:hint="eastAsia" w:ascii="宋体" w:hAnsi="宋体"/>
          <w:sz w:val="24"/>
        </w:rPr>
        <w:t>日11:00止(北京时间)，报价</w:t>
      </w:r>
      <w:r>
        <w:rPr>
          <w:rFonts w:hint="eastAsia" w:ascii="宋体" w:hAnsi="宋体"/>
          <w:b/>
          <w:bCs/>
          <w:sz w:val="24"/>
        </w:rPr>
        <w:t>前建议提前半小时登入网上竞价平台，在报价期间因网站或系统等原因造成无法报价由竞价人自行负责。</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60" w:lineRule="auto"/>
        <w:ind w:firstLine="480" w:firstLineChars="200"/>
        <w:jc w:val="left"/>
        <w:rPr>
          <w:rFonts w:ascii="宋体" w:hAnsi="宋体"/>
          <w:sz w:val="24"/>
        </w:rPr>
      </w:pPr>
      <w:r>
        <w:rPr>
          <w:rFonts w:hint="eastAsia" w:ascii="宋体" w:hAnsi="宋体"/>
          <w:sz w:val="24"/>
        </w:rPr>
        <w:t>1、本次采购的货物、服务或工程为国内供货商。</w:t>
      </w:r>
    </w:p>
    <w:p>
      <w:pPr>
        <w:widowControl/>
        <w:spacing w:line="360" w:lineRule="auto"/>
        <w:ind w:firstLine="480" w:firstLineChars="200"/>
        <w:jc w:val="left"/>
        <w:rPr>
          <w:rFonts w:ascii="宋体" w:hAnsi="宋体"/>
          <w:sz w:val="24"/>
        </w:rPr>
      </w:pPr>
      <w:r>
        <w:rPr>
          <w:rFonts w:hint="eastAsia" w:ascii="宋体" w:hAnsi="宋体"/>
          <w:sz w:val="24"/>
        </w:rPr>
        <w:t>2、一个竞价人只能提交一个报价文件。但如果竞价人之间存在下列互为关联关系的情形之一的，不得同时参加本项目报价：</w:t>
      </w:r>
    </w:p>
    <w:p>
      <w:pPr>
        <w:widowControl/>
        <w:spacing w:line="360" w:lineRule="auto"/>
        <w:ind w:firstLine="480" w:firstLineChars="200"/>
        <w:jc w:val="left"/>
        <w:rPr>
          <w:rFonts w:ascii="宋体" w:hAnsi="宋体"/>
          <w:sz w:val="24"/>
        </w:rPr>
      </w:pPr>
      <w:r>
        <w:rPr>
          <w:rFonts w:hint="eastAsia" w:ascii="宋体" w:hAnsi="宋体"/>
          <w:sz w:val="24"/>
        </w:rPr>
        <w:t>(1) 法定代表人、负责人为同一人的两个及两个以上法人；</w:t>
      </w:r>
    </w:p>
    <w:p>
      <w:pPr>
        <w:widowControl/>
        <w:spacing w:line="360" w:lineRule="auto"/>
        <w:ind w:firstLine="480" w:firstLineChars="200"/>
        <w:jc w:val="left"/>
        <w:rPr>
          <w:rFonts w:ascii="宋体" w:hAnsi="宋体"/>
          <w:sz w:val="24"/>
        </w:rPr>
      </w:pPr>
      <w:r>
        <w:rPr>
          <w:rFonts w:hint="eastAsia" w:ascii="宋体" w:hAnsi="宋体"/>
          <w:sz w:val="24"/>
        </w:rPr>
        <w:t>(2) 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(3) 均为同一家母公司直接或间接持股50％及以上的被投资公司；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(4) 存在管理关系的公司。</w:t>
      </w:r>
    </w:p>
    <w:p>
      <w:pPr>
        <w:widowControl/>
        <w:spacing w:line="360" w:lineRule="auto"/>
        <w:ind w:firstLine="480" w:firstLineChars="200"/>
        <w:jc w:val="left"/>
        <w:rPr>
          <w:rFonts w:ascii="宋体" w:hAnsi="宋体"/>
          <w:sz w:val="24"/>
        </w:rPr>
      </w:pPr>
      <w:r>
        <w:rPr>
          <w:rFonts w:hint="eastAsia" w:ascii="宋体" w:hAnsi="宋体"/>
          <w:sz w:val="24"/>
        </w:rPr>
        <w:t>单位负责人为同一人或者存在直接控股、管理关系的不同供应商，不得参加同一合同项下的采购活动。</w:t>
      </w:r>
    </w:p>
    <w:p>
      <w:pPr>
        <w:widowControl/>
        <w:spacing w:line="360" w:lineRule="auto"/>
        <w:ind w:firstLine="482" w:firstLineChars="200"/>
        <w:rPr>
          <w:rFonts w:ascii="宋体" w:hAnsi="宋体"/>
          <w:sz w:val="24"/>
        </w:rPr>
      </w:pPr>
      <w:r>
        <w:rPr>
          <w:rFonts w:hint="eastAsia" w:ascii="宋体" w:hAnsi="宋体"/>
          <w:b/>
          <w:bCs/>
          <w:sz w:val="24"/>
        </w:rPr>
        <w:t>3、</w:t>
      </w:r>
      <w:r>
        <w:rPr>
          <w:rFonts w:hint="eastAsia" w:ascii="宋体" w:hAnsi="宋体"/>
          <w:b/>
          <w:bCs/>
          <w:kern w:val="0"/>
          <w:sz w:val="24"/>
        </w:rPr>
        <w:t>竞价人根据竞价文件要求自行编制和上传有效的报价文件（应与纸质报价文件一致），应包含竞价文件要求的所有材料（不限于竞价文件提供的格式）。</w:t>
      </w:r>
    </w:p>
    <w:p>
      <w:pPr>
        <w:widowControl/>
        <w:spacing w:line="360" w:lineRule="auto"/>
        <w:ind w:firstLine="482" w:firstLineChars="200"/>
        <w:rPr>
          <w:rFonts w:ascii="宋体" w:hAnsi="宋体"/>
          <w:b/>
          <w:bCs/>
          <w:kern w:val="0"/>
          <w:sz w:val="24"/>
        </w:rPr>
      </w:pPr>
      <w:r>
        <w:rPr>
          <w:rFonts w:hint="eastAsia" w:ascii="宋体" w:hAnsi="宋体"/>
          <w:b/>
          <w:bCs/>
          <w:kern w:val="0"/>
          <w:sz w:val="24"/>
        </w:rPr>
        <w:t>在网上竞价截止时间前电子报价文件应按上述要求上传相关材料，未按此要求的，将被视为无效报价文件。电子报价文档具法律效力。</w:t>
      </w:r>
    </w:p>
    <w:p>
      <w:pPr>
        <w:widowControl/>
        <w:spacing w:line="360" w:lineRule="auto"/>
        <w:ind w:firstLine="482" w:firstLineChars="200"/>
        <w:jc w:val="left"/>
        <w:rPr>
          <w:rFonts w:ascii="宋体" w:hAnsi="宋体"/>
          <w:sz w:val="24"/>
        </w:rPr>
      </w:pPr>
      <w:r>
        <w:rPr>
          <w:rFonts w:hint="eastAsia" w:ascii="宋体" w:hAnsi="宋体"/>
          <w:b/>
          <w:bCs/>
          <w:kern w:val="0"/>
          <w:sz w:val="24"/>
        </w:rPr>
        <w:t>在网上竞价截止时间前上传电子报价文件内容（含品牌、技术参数、服务要求等）</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4、竞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360" w:lineRule="auto"/>
        <w:ind w:firstLine="480" w:firstLineChars="200"/>
        <w:jc w:val="left"/>
        <w:rPr>
          <w:rFonts w:ascii="宋体" w:hAnsi="宋体"/>
          <w:sz w:val="24"/>
        </w:rPr>
      </w:pPr>
      <w:r>
        <w:rPr>
          <w:rFonts w:hint="eastAsia" w:ascii="宋体" w:hAnsi="宋体"/>
          <w:sz w:val="24"/>
        </w:rPr>
        <w:t>5、网上竞价公告载明的要求中涉及的竞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竞价人报价时提供的中文译本、翻译机构及翻译人员资格证书可为复印件，并加盖竞价人公章。</w:t>
      </w:r>
    </w:p>
    <w:p>
      <w:pPr>
        <w:widowControl/>
        <w:spacing w:line="360" w:lineRule="auto"/>
        <w:ind w:firstLine="480" w:firstLineChars="200"/>
        <w:jc w:val="left"/>
        <w:rPr>
          <w:rFonts w:ascii="宋体" w:hAnsi="宋体"/>
          <w:sz w:val="24"/>
        </w:rPr>
      </w:pPr>
      <w:r>
        <w:rPr>
          <w:rFonts w:hint="eastAsia" w:ascii="宋体" w:hAnsi="宋体"/>
          <w:sz w:val="24"/>
        </w:rPr>
        <w:t>6、竞价人报价应包含本次采购项目提供货物、服务或工程，以及可能发生的费用，应包括服务内容、运输、保险、采购保管、产品检验检测、备品备件、税收、售后服务、培训、专用工具、验收等项目相关的一切费用。</w:t>
      </w:r>
    </w:p>
    <w:p>
      <w:pPr>
        <w:widowControl/>
        <w:spacing w:line="360" w:lineRule="auto"/>
        <w:ind w:firstLine="480" w:firstLineChars="200"/>
        <w:jc w:val="left"/>
        <w:rPr>
          <w:rFonts w:ascii="宋体" w:hAnsi="宋体"/>
          <w:sz w:val="24"/>
        </w:rPr>
      </w:pPr>
      <w:r>
        <w:rPr>
          <w:rFonts w:hint="eastAsia" w:ascii="宋体" w:hAnsi="宋体"/>
          <w:sz w:val="24"/>
        </w:rPr>
        <w:t>7、竞价人应详细阅读关于本次网上竞价项目采购的竞价公告内容，自行承担，在整个竞价过程及操作过程（计算机及其操作系统的使用，IE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360" w:lineRule="auto"/>
        <w:ind w:firstLine="482" w:firstLineChars="200"/>
        <w:jc w:val="left"/>
        <w:rPr>
          <w:rFonts w:ascii="宋体" w:hAnsi="宋体"/>
          <w:sz w:val="24"/>
          <w:shd w:val="clear" w:color="FFFFFF" w:fill="D9D9D9"/>
        </w:rPr>
      </w:pPr>
      <w:r>
        <w:rPr>
          <w:rFonts w:hint="eastAsia" w:ascii="宋体" w:hAnsi="宋体"/>
          <w:b/>
          <w:sz w:val="24"/>
        </w:rPr>
        <w:t>8、</w:t>
      </w:r>
      <w:r>
        <w:rPr>
          <w:rFonts w:hint="eastAsia" w:ascii="宋体" w:hAnsi="宋体"/>
          <w:b/>
          <w:bCs/>
          <w:kern w:val="0"/>
          <w:sz w:val="24"/>
        </w:rPr>
        <w:t>竞价成交人根据竞价文件要求自行编制的纸质报价文件，应包含竞价文件要求的所有材料（不限于竞价文件提供的格式）。</w:t>
      </w:r>
      <w:r>
        <w:rPr>
          <w:rFonts w:hint="eastAsia" w:ascii="宋体" w:hAnsi="宋体"/>
          <w:b/>
          <w:bCs/>
          <w:sz w:val="24"/>
          <w:shd w:val="clear" w:color="FFFFFF" w:fill="D9D9D9"/>
        </w:rPr>
        <w:t>报价文件须装订成册，正本须逐页盖章、副本可用正本的复印件，正、副本如有不一致，则以正本为准。正、副本均须封面加盖公章，并加盖骑缝章，在领取成交通知书时递交一正二副纸质报价文件（此报价文件除报价内容外，应与报名文件的实质性内容一致）。</w:t>
      </w:r>
    </w:p>
    <w:p>
      <w:pPr>
        <w:widowControl/>
        <w:spacing w:line="375" w:lineRule="atLeast"/>
        <w:jc w:val="left"/>
        <w:rPr>
          <w:rFonts w:ascii="宋体" w:hAnsi="宋体" w:cs="宋体"/>
          <w:bCs/>
          <w:kern w:val="0"/>
          <w:sz w:val="24"/>
          <w:szCs w:val="24"/>
        </w:rPr>
      </w:pP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wordWrap w:val="0"/>
        <w:spacing w:line="360" w:lineRule="auto"/>
        <w:ind w:firstLine="480" w:firstLineChars="200"/>
        <w:rPr>
          <w:rFonts w:ascii="宋体" w:hAnsi="宋体"/>
          <w:sz w:val="24"/>
        </w:rPr>
      </w:pPr>
      <w:r>
        <w:rPr>
          <w:rFonts w:hint="eastAsia" w:ascii="宋体" w:hAnsi="宋体"/>
          <w:sz w:val="24"/>
        </w:rPr>
        <w:t>1、福建方兴招标代理有限公司将采购人提出的采购需求在中国政府采购网(http://www.ccgp.gov.cn/)、福建方兴招标代理有限公司竞价平台（http://www.fjfxzbdl.com/）上发布竞价公告。在报价时限截止前，符合采购需求的潜在供应商通过福建方兴招标代理有限公司竞价平台（http://www.fjfxzbdl.com/）进行竞价。在符合采购需求且报价有效的前提下，报价最低者成交（报价相同的，以报价时间优先者中标）。</w:t>
      </w:r>
    </w:p>
    <w:p>
      <w:pPr>
        <w:widowControl/>
        <w:spacing w:line="360" w:lineRule="auto"/>
        <w:ind w:firstLine="482" w:firstLineChars="200"/>
        <w:jc w:val="left"/>
        <w:rPr>
          <w:rFonts w:ascii="宋体" w:hAnsi="宋体"/>
          <w:b/>
          <w:sz w:val="24"/>
          <w:highlight w:val="yellow"/>
        </w:rPr>
      </w:pPr>
      <w:r>
        <w:rPr>
          <w:rFonts w:hint="eastAsia" w:ascii="宋体" w:hAnsi="宋体"/>
          <w:b/>
          <w:bCs/>
          <w:sz w:val="24"/>
          <w:highlight w:val="yellow"/>
        </w:rPr>
        <w:t>2、竞价过程中，每个竞价人只有一次报价机会，各个竞价人报价必须低于最高限价的97%(不含)以上,超过最高总价限价或最高单价限价，按无效报价处理。</w:t>
      </w:r>
    </w:p>
    <w:p>
      <w:pPr>
        <w:widowControl/>
        <w:spacing w:line="360" w:lineRule="auto"/>
        <w:ind w:firstLine="480" w:firstLineChars="200"/>
        <w:jc w:val="left"/>
        <w:rPr>
          <w:rFonts w:ascii="宋体" w:hAnsi="宋体"/>
          <w:sz w:val="24"/>
        </w:rPr>
      </w:pPr>
      <w:r>
        <w:rPr>
          <w:rFonts w:hint="eastAsia" w:ascii="宋体" w:hAnsi="宋体"/>
          <w:sz w:val="24"/>
        </w:rPr>
        <w:t>3、符合以上要求的报价，可以在规定的报价时限内在</w:t>
      </w:r>
      <w:r>
        <w:rPr>
          <w:rFonts w:hint="eastAsia" w:ascii="宋体" w:hAnsi="宋体"/>
          <w:bCs/>
          <w:kern w:val="0"/>
          <w:sz w:val="24"/>
        </w:rPr>
        <w:t>福建方兴招标代理有限公司</w:t>
      </w:r>
      <w:r>
        <w:rPr>
          <w:rFonts w:hint="eastAsia" w:ascii="宋体" w:hAnsi="宋体"/>
          <w:sz w:val="24"/>
        </w:rPr>
        <w:t>网上竞价平台上进行报价，直到竞价截止时间为止。</w:t>
      </w:r>
    </w:p>
    <w:p>
      <w:pPr>
        <w:widowControl/>
        <w:spacing w:line="360" w:lineRule="auto"/>
        <w:ind w:firstLine="480" w:firstLineChars="200"/>
        <w:jc w:val="left"/>
        <w:rPr>
          <w:rFonts w:ascii="宋体" w:hAnsi="宋体"/>
          <w:sz w:val="24"/>
        </w:rPr>
      </w:pPr>
      <w:r>
        <w:rPr>
          <w:rFonts w:hint="eastAsia" w:ascii="宋体" w:hAnsi="宋体"/>
          <w:sz w:val="24"/>
        </w:rPr>
        <w:t>4、最终有效报价确认办法</w:t>
      </w:r>
    </w:p>
    <w:p>
      <w:pPr>
        <w:widowControl/>
        <w:spacing w:line="360" w:lineRule="auto"/>
        <w:ind w:firstLine="480" w:firstLineChars="200"/>
        <w:jc w:val="left"/>
        <w:rPr>
          <w:rFonts w:ascii="宋体" w:hAnsi="宋体"/>
          <w:sz w:val="24"/>
        </w:rPr>
      </w:pPr>
      <w:r>
        <w:rPr>
          <w:rFonts w:hint="eastAsia" w:ascii="宋体" w:hAnsi="宋体"/>
          <w:sz w:val="24"/>
        </w:rPr>
        <w:t>（1）竞价结果在提交的报价文件全部满足竞价文件要求的前提下依据统一的价格要素评定最低报价,按价格最低者成交（报价相同者以时间先后顺序确定）确认。</w:t>
      </w:r>
    </w:p>
    <w:p>
      <w:pPr>
        <w:widowControl/>
        <w:spacing w:line="360" w:lineRule="auto"/>
        <w:ind w:firstLine="480" w:firstLineChars="200"/>
        <w:jc w:val="left"/>
        <w:rPr>
          <w:rFonts w:ascii="宋体" w:hAnsi="宋体"/>
          <w:sz w:val="24"/>
        </w:rPr>
      </w:pPr>
      <w:r>
        <w:rPr>
          <w:rFonts w:hint="eastAsia" w:ascii="宋体" w:hAnsi="宋体"/>
          <w:sz w:val="24"/>
        </w:rPr>
        <w:t>（2）算术错误将按以下方法更正：</w:t>
      </w:r>
    </w:p>
    <w:p>
      <w:pPr>
        <w:widowControl/>
        <w:spacing w:line="360" w:lineRule="auto"/>
        <w:ind w:firstLine="480" w:firstLineChars="200"/>
        <w:jc w:val="left"/>
        <w:rPr>
          <w:rFonts w:ascii="宋体" w:hAnsi="宋体"/>
          <w:sz w:val="24"/>
        </w:rPr>
      </w:pPr>
      <w:r>
        <w:rPr>
          <w:rFonts w:hint="eastAsia" w:ascii="宋体" w:hAnsi="宋体"/>
          <w:sz w:val="24"/>
        </w:rPr>
        <w:t>①竞价人在竞价平台提交报价后上传的报价文件中的报价一览表总价不一致的，以竞价人在竞价平台提交的报价为准；</w:t>
      </w:r>
    </w:p>
    <w:p>
      <w:pPr>
        <w:widowControl/>
        <w:spacing w:line="360" w:lineRule="auto"/>
        <w:ind w:firstLine="480" w:firstLineChars="200"/>
        <w:jc w:val="left"/>
        <w:rPr>
          <w:rFonts w:ascii="宋体" w:hAnsi="宋体"/>
          <w:sz w:val="24"/>
        </w:rPr>
      </w:pPr>
      <w:r>
        <w:rPr>
          <w:rFonts w:hint="eastAsia" w:ascii="宋体" w:hAnsi="宋体"/>
          <w:sz w:val="24"/>
        </w:rPr>
        <w:t>②报价一览表中大写金额和小写金额不一致的，以大写金额为准；</w:t>
      </w:r>
    </w:p>
    <w:p>
      <w:pPr>
        <w:widowControl/>
        <w:spacing w:line="360" w:lineRule="auto"/>
        <w:ind w:firstLine="480" w:firstLineChars="200"/>
        <w:jc w:val="left"/>
        <w:rPr>
          <w:rFonts w:ascii="宋体" w:hAnsi="宋体"/>
          <w:sz w:val="24"/>
        </w:rPr>
      </w:pPr>
      <w:r>
        <w:rPr>
          <w:rFonts w:hint="eastAsia" w:ascii="宋体" w:hAnsi="宋体"/>
          <w:sz w:val="24"/>
        </w:rPr>
        <w:t>③报价一览表中单价金额小数点或百分比有明显错位的，以报价一览表的总价为准，并修改单价；</w:t>
      </w:r>
    </w:p>
    <w:p>
      <w:pPr>
        <w:widowControl/>
        <w:spacing w:line="360" w:lineRule="auto"/>
        <w:ind w:firstLine="480" w:firstLineChars="200"/>
        <w:jc w:val="left"/>
        <w:rPr>
          <w:rFonts w:ascii="宋体" w:hAnsi="宋体"/>
          <w:sz w:val="24"/>
        </w:rPr>
      </w:pPr>
      <w:r>
        <w:rPr>
          <w:rFonts w:hint="eastAsia" w:ascii="宋体" w:hAnsi="宋体"/>
          <w:sz w:val="24"/>
        </w:rPr>
        <w:t>④报价一览表中总价金额与按照单价汇总金额不一致的，以单价金额计算结果为准。</w:t>
      </w:r>
    </w:p>
    <w:p>
      <w:pPr>
        <w:widowControl/>
        <w:spacing w:line="360" w:lineRule="auto"/>
        <w:ind w:firstLine="482" w:firstLineChars="200"/>
        <w:jc w:val="left"/>
        <w:rPr>
          <w:rFonts w:ascii="宋体" w:hAnsi="宋体"/>
          <w:b/>
          <w:bCs/>
          <w:sz w:val="24"/>
        </w:rPr>
      </w:pPr>
      <w:r>
        <w:rPr>
          <w:rFonts w:hint="eastAsia" w:ascii="宋体" w:hAnsi="宋体"/>
          <w:b/>
          <w:bCs/>
          <w:sz w:val="24"/>
        </w:rPr>
        <w:t>※同时出现两种以上不一致的，按照前款规定的顺序修正。修正后的报价应按照本章第六条第3款规定经竞价人确认后产生约束力，竞价人不确认的，其报价无效。</w:t>
      </w:r>
    </w:p>
    <w:p>
      <w:pPr>
        <w:widowControl/>
        <w:spacing w:line="360" w:lineRule="auto"/>
        <w:ind w:firstLine="480" w:firstLineChars="200"/>
        <w:jc w:val="left"/>
        <w:rPr>
          <w:rFonts w:ascii="宋体" w:hAnsi="宋体"/>
          <w:sz w:val="24"/>
        </w:rPr>
      </w:pPr>
      <w:r>
        <w:rPr>
          <w:rFonts w:hint="eastAsia" w:ascii="宋体" w:hAnsi="宋体"/>
          <w:sz w:val="24"/>
        </w:rPr>
        <w:t> 5、竞价人应遵守采购相关法规，若竞价人违反规定，将按有关规定处理。</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60" w:lineRule="auto"/>
        <w:jc w:val="left"/>
        <w:rPr>
          <w:rFonts w:ascii="宋体" w:hAnsi="宋体"/>
          <w:sz w:val="24"/>
        </w:rPr>
      </w:pPr>
      <w:r>
        <w:rPr>
          <w:rFonts w:hint="eastAsia" w:ascii="宋体" w:hAnsi="宋体"/>
          <w:sz w:val="24"/>
        </w:rPr>
        <w:t> 1、网上竞价公告期满，福建方兴招标代理有限公司以书面方式通知采购人。同时将成交结果信息在中国政府采购网(http://www.ccgp.gov.cn/)、福建方兴招标代理有限公司竞价平台（http://www.fjfxzbdl.com/）上公告，公告期限为本公告之日起1个工作日。</w:t>
      </w:r>
    </w:p>
    <w:p>
      <w:pPr>
        <w:widowControl/>
        <w:spacing w:line="360" w:lineRule="auto"/>
        <w:jc w:val="left"/>
        <w:rPr>
          <w:rFonts w:ascii="宋体" w:hAnsi="宋体"/>
          <w:b/>
          <w:bCs/>
          <w:sz w:val="24"/>
        </w:rPr>
      </w:pPr>
      <w:r>
        <w:rPr>
          <w:rFonts w:hint="eastAsia" w:ascii="宋体" w:hAnsi="宋体"/>
          <w:b/>
          <w:bCs/>
          <w:sz w:val="24"/>
        </w:rPr>
        <w:t>  </w:t>
      </w:r>
      <w:r>
        <w:rPr>
          <w:rFonts w:hint="eastAsia" w:ascii="宋体" w:hAnsi="宋体"/>
          <w:b/>
          <w:bCs/>
          <w:sz w:val="24"/>
          <w:highlight w:val="yellow"/>
        </w:rPr>
        <w:t>2、网上竞价公告期满，若无两个（含）的竞价人参与报价，或参与竞价的竞价人报价不符合上述规定的，网上竞价无效。</w:t>
      </w:r>
    </w:p>
    <w:p>
      <w:pPr>
        <w:pStyle w:val="16"/>
        <w:spacing w:before="0" w:beforeAutospacing="0" w:after="0" w:afterAutospacing="0" w:line="360" w:lineRule="auto"/>
        <w:ind w:firstLine="482" w:firstLineChars="200"/>
        <w:rPr>
          <w:b/>
          <w:bCs/>
        </w:rPr>
      </w:pPr>
      <w:r>
        <w:rPr>
          <w:rFonts w:hint="eastAsia"/>
          <w:b/>
          <w:bCs/>
        </w:rPr>
        <w:t>3、采购单位在提出采购需求时指定品牌、型号的，须在采购单位指定的品牌、型号范围内选定，不符合规定的，网上竞价无效。</w:t>
      </w:r>
    </w:p>
    <w:p>
      <w:pPr>
        <w:widowControl/>
        <w:spacing w:line="360" w:lineRule="auto"/>
        <w:jc w:val="left"/>
        <w:rPr>
          <w:rFonts w:ascii="宋体" w:hAnsi="宋体"/>
          <w:color w:val="000000"/>
          <w:sz w:val="24"/>
        </w:rPr>
      </w:pPr>
      <w:r>
        <w:rPr>
          <w:rFonts w:hint="eastAsia" w:ascii="宋体" w:hAnsi="宋体"/>
          <w:b/>
          <w:bCs/>
          <w:sz w:val="24"/>
        </w:rPr>
        <w:t xml:space="preserve">    4、报名文件审核通过或是报价最低不作为最终成交的保证。</w:t>
      </w:r>
      <w:r>
        <w:rPr>
          <w:rFonts w:hint="eastAsia" w:ascii="宋体" w:hAnsi="宋体" w:cs="宋体"/>
          <w:bCs/>
          <w:kern w:val="0"/>
          <w:sz w:val="24"/>
          <w:szCs w:val="24"/>
        </w:rPr>
        <w:t>竞价人</w:t>
      </w:r>
      <w:r>
        <w:rPr>
          <w:rFonts w:hint="eastAsia" w:ascii="宋体" w:hAnsi="宋体"/>
          <w:color w:val="000000"/>
          <w:sz w:val="24"/>
        </w:rPr>
        <w:t>必须对其报价文件中提供各种资料、说明的真实性负责。在报名文件审核过程中，如有发现</w:t>
      </w:r>
      <w:r>
        <w:rPr>
          <w:rFonts w:hint="eastAsia" w:ascii="宋体" w:hAnsi="宋体" w:cs="宋体"/>
          <w:bCs/>
          <w:kern w:val="0"/>
          <w:sz w:val="24"/>
          <w:szCs w:val="24"/>
        </w:rPr>
        <w:t>竞价人</w:t>
      </w:r>
      <w:r>
        <w:rPr>
          <w:rFonts w:hint="eastAsia" w:ascii="宋体" w:hAnsi="宋体"/>
          <w:color w:val="000000"/>
          <w:sz w:val="24"/>
        </w:rPr>
        <w:t>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spacing w:line="360" w:lineRule="auto"/>
        <w:rPr>
          <w:rFonts w:ascii="宋体" w:hAnsi="宋体"/>
          <w:sz w:val="24"/>
        </w:rPr>
      </w:pPr>
      <w:r>
        <w:rPr>
          <w:rFonts w:hint="eastAsia" w:ascii="宋体" w:hAnsi="宋体"/>
          <w:sz w:val="24"/>
        </w:rPr>
        <w:t> </w:t>
      </w:r>
      <w:r>
        <w:rPr>
          <w:rFonts w:hint="eastAsia" w:ascii="宋体" w:hAnsi="宋体" w:cs="宋体"/>
          <w:bCs/>
          <w:kern w:val="0"/>
          <w:sz w:val="24"/>
          <w:szCs w:val="24"/>
        </w:rPr>
        <w:t>1、竞价保证金：人民币</w:t>
      </w:r>
      <w:r>
        <w:rPr>
          <w:rFonts w:hint="eastAsia" w:ascii="宋体" w:hAnsi="宋体" w:cs="宋体"/>
          <w:bCs/>
          <w:kern w:val="0"/>
          <w:sz w:val="24"/>
          <w:szCs w:val="24"/>
          <w:highlight w:val="yellow"/>
        </w:rPr>
        <w:t>2200</w:t>
      </w:r>
      <w:r>
        <w:rPr>
          <w:rFonts w:hint="eastAsia" w:ascii="宋体" w:hAnsi="宋体" w:cs="宋体"/>
          <w:bCs/>
          <w:kern w:val="0"/>
          <w:sz w:val="24"/>
          <w:szCs w:val="24"/>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hint="eastAsia" w:ascii="宋体" w:hAnsi="宋体"/>
          <w:sz w:val="24"/>
        </w:rPr>
        <w:t>竞价人须在递交报名审核材料截止时间前提交竞价保证金</w:t>
      </w:r>
      <w:r>
        <w:rPr>
          <w:rFonts w:hint="eastAsia" w:ascii="宋体" w:hAnsi="宋体"/>
          <w:b/>
          <w:bCs/>
          <w:sz w:val="24"/>
        </w:rPr>
        <w:t>（注明</w:t>
      </w:r>
      <w:r>
        <w:rPr>
          <w:rFonts w:hint="eastAsia" w:ascii="宋体" w:hAnsi="宋体"/>
          <w:b/>
          <w:bCs/>
          <w:sz w:val="24"/>
          <w:u w:val="single"/>
        </w:rPr>
        <w:t>FXZB-2023135</w:t>
      </w:r>
      <w:r>
        <w:rPr>
          <w:rFonts w:hint="eastAsia" w:ascii="宋体" w:hAnsi="宋体"/>
          <w:b/>
          <w:bCs/>
          <w:sz w:val="24"/>
        </w:rPr>
        <w:t>保证金）</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竞价保证金缴交银行帐号：</w:t>
      </w:r>
    </w:p>
    <w:p>
      <w:pPr>
        <w:spacing w:line="360" w:lineRule="auto"/>
        <w:ind w:firstLine="480" w:firstLineChars="200"/>
        <w:rPr>
          <w:rFonts w:ascii="宋体" w:hAnsi="宋体"/>
          <w:sz w:val="24"/>
        </w:rPr>
      </w:pPr>
      <w:r>
        <w:rPr>
          <w:rFonts w:hint="eastAsia" w:ascii="宋体" w:hAnsi="宋体"/>
          <w:sz w:val="24"/>
        </w:rPr>
        <w:t>开户名：</w:t>
      </w:r>
      <w:r>
        <w:rPr>
          <w:rFonts w:hint="eastAsia" w:ascii="宋体" w:hAnsi="宋体"/>
          <w:bCs/>
          <w:sz w:val="24"/>
        </w:rPr>
        <w:t>福建方兴招标代理有限公司</w:t>
      </w:r>
    </w:p>
    <w:p>
      <w:pPr>
        <w:pStyle w:val="52"/>
        <w:spacing w:line="360" w:lineRule="auto"/>
        <w:ind w:firstLine="480" w:firstLineChars="200"/>
        <w:textAlignment w:val="baseline"/>
        <w:rPr>
          <w:rFonts w:hAnsi="宋体"/>
          <w:bCs/>
          <w:color w:val="auto"/>
          <w:kern w:val="2"/>
        </w:rPr>
      </w:pPr>
      <w:r>
        <w:rPr>
          <w:rFonts w:hint="eastAsia" w:hAnsi="宋体"/>
          <w:color w:val="auto"/>
        </w:rPr>
        <w:t>开户行：中国农业银行福州鼓屏支行</w:t>
      </w:r>
    </w:p>
    <w:p>
      <w:pPr>
        <w:pStyle w:val="52"/>
        <w:spacing w:line="360" w:lineRule="auto"/>
        <w:ind w:firstLine="480" w:firstLineChars="200"/>
        <w:textAlignment w:val="baseline"/>
        <w:rPr>
          <w:rFonts w:hAnsi="宋体"/>
          <w:bCs/>
          <w:color w:val="auto"/>
          <w:kern w:val="2"/>
        </w:rPr>
      </w:pPr>
      <w:r>
        <w:rPr>
          <w:rFonts w:hint="eastAsia" w:hAnsi="宋体"/>
          <w:bCs/>
          <w:color w:val="auto"/>
          <w:kern w:val="2"/>
        </w:rPr>
        <w:t>账  号：1300 3101 0400 15896</w:t>
      </w:r>
    </w:p>
    <w:p>
      <w:pPr>
        <w:widowControl/>
        <w:spacing w:line="360" w:lineRule="auto"/>
        <w:jc w:val="left"/>
        <w:rPr>
          <w:rFonts w:ascii="宋体" w:hAnsi="宋体"/>
          <w:sz w:val="24"/>
        </w:rPr>
      </w:pPr>
      <w:r>
        <w:rPr>
          <w:rFonts w:hint="eastAsia" w:ascii="宋体" w:hAnsi="宋体"/>
          <w:sz w:val="24"/>
        </w:rPr>
        <w:t>  2、未成交的</w:t>
      </w:r>
      <w:r>
        <w:rPr>
          <w:rFonts w:hint="eastAsia" w:ascii="宋体" w:hAnsi="宋体" w:cs="宋体"/>
          <w:bCs/>
          <w:kern w:val="0"/>
          <w:sz w:val="24"/>
          <w:szCs w:val="24"/>
        </w:rPr>
        <w:t>竞价人</w:t>
      </w:r>
      <w:r>
        <w:rPr>
          <w:rFonts w:hint="eastAsia" w:ascii="宋体" w:hAnsi="宋体"/>
          <w:sz w:val="24"/>
        </w:rPr>
        <w:t>，在结果公告发布后5个工作日内即可无息退回。成交人签订合同后，须向福建方兴招标代理有限公司提供采购合同一份，福建方兴招标代理有限公司财务即可无息退付竞价保证金。</w:t>
      </w:r>
    </w:p>
    <w:p>
      <w:pPr>
        <w:widowControl/>
        <w:spacing w:line="360" w:lineRule="auto"/>
        <w:jc w:val="left"/>
        <w:rPr>
          <w:rFonts w:ascii="宋体" w:hAnsi="宋体"/>
          <w:sz w:val="24"/>
        </w:rPr>
      </w:pPr>
      <w:r>
        <w:rPr>
          <w:rFonts w:hint="eastAsia" w:ascii="宋体" w:hAnsi="宋体"/>
          <w:sz w:val="24"/>
        </w:rPr>
        <w:t>  3、无论报价过程中的做法和结果如何，</w:t>
      </w:r>
      <w:r>
        <w:rPr>
          <w:rFonts w:hint="eastAsia" w:ascii="宋体" w:hAnsi="宋体" w:cs="宋体"/>
          <w:bCs/>
          <w:kern w:val="0"/>
          <w:sz w:val="24"/>
          <w:szCs w:val="24"/>
        </w:rPr>
        <w:t>竞价人</w:t>
      </w:r>
      <w:r>
        <w:rPr>
          <w:rFonts w:hint="eastAsia" w:ascii="宋体" w:hAnsi="宋体"/>
          <w:sz w:val="24"/>
        </w:rPr>
        <w:t>自行承担所有参与报价的全部相关费用。</w:t>
      </w:r>
    </w:p>
    <w:p>
      <w:pPr>
        <w:widowControl/>
        <w:spacing w:line="360" w:lineRule="auto"/>
        <w:jc w:val="left"/>
        <w:rPr>
          <w:rFonts w:ascii="宋体" w:hAnsi="宋体"/>
          <w:sz w:val="24"/>
        </w:rPr>
      </w:pPr>
      <w:r>
        <w:rPr>
          <w:rFonts w:hint="eastAsia" w:ascii="宋体" w:hAnsi="宋体"/>
          <w:sz w:val="24"/>
        </w:rPr>
        <w:t>  4、上述技术规格及要求中所发生的一切费用均包含在报价价格中。</w:t>
      </w:r>
    </w:p>
    <w:p>
      <w:pPr>
        <w:widowControl/>
        <w:spacing w:line="360" w:lineRule="auto"/>
        <w:jc w:val="left"/>
        <w:rPr>
          <w:rFonts w:ascii="宋体" w:hAnsi="宋体"/>
          <w:b/>
          <w:bCs/>
          <w:sz w:val="24"/>
        </w:rPr>
      </w:pPr>
      <w:r>
        <w:rPr>
          <w:rFonts w:hint="eastAsia" w:ascii="宋体" w:hAnsi="宋体"/>
          <w:b/>
          <w:bCs/>
          <w:sz w:val="24"/>
        </w:rPr>
        <w:t>七、竞价报价偏差</w:t>
      </w:r>
    </w:p>
    <w:p>
      <w:pPr>
        <w:widowControl/>
        <w:spacing w:line="360" w:lineRule="auto"/>
        <w:jc w:val="left"/>
        <w:rPr>
          <w:rFonts w:ascii="宋体" w:hAnsi="宋体"/>
          <w:sz w:val="24"/>
        </w:rPr>
      </w:pPr>
      <w:r>
        <w:rPr>
          <w:rFonts w:hint="eastAsia" w:ascii="宋体" w:hAnsi="宋体"/>
          <w:sz w:val="24"/>
        </w:rPr>
        <w:t>  1、重大偏差。下列情况属于重大偏差：</w:t>
      </w:r>
    </w:p>
    <w:p>
      <w:pPr>
        <w:widowControl/>
        <w:spacing w:line="360" w:lineRule="auto"/>
        <w:jc w:val="left"/>
        <w:rPr>
          <w:rFonts w:ascii="宋体" w:hAnsi="宋体"/>
          <w:sz w:val="24"/>
        </w:rPr>
      </w:pPr>
      <w:r>
        <w:rPr>
          <w:rFonts w:hint="eastAsia" w:ascii="宋体" w:hAnsi="宋体"/>
          <w:sz w:val="24"/>
        </w:rPr>
        <w:t> （1）报价文件未按竞价文件要求加盖公章并由法定代表人或其书面授权的代理人签字的；</w:t>
      </w:r>
    </w:p>
    <w:p>
      <w:pPr>
        <w:widowControl/>
        <w:spacing w:line="360" w:lineRule="auto"/>
        <w:jc w:val="left"/>
        <w:rPr>
          <w:rFonts w:ascii="宋体" w:hAnsi="宋体"/>
          <w:sz w:val="24"/>
        </w:rPr>
      </w:pPr>
      <w:r>
        <w:rPr>
          <w:rFonts w:hint="eastAsia" w:ascii="宋体" w:hAnsi="宋体"/>
          <w:sz w:val="24"/>
        </w:rPr>
        <w:t> （2）报价文件载明的竞价项目完成期限超过竞价文件规定的；</w:t>
      </w:r>
    </w:p>
    <w:p>
      <w:pPr>
        <w:widowControl/>
        <w:spacing w:line="360" w:lineRule="auto"/>
        <w:jc w:val="left"/>
        <w:rPr>
          <w:rFonts w:ascii="宋体" w:hAnsi="宋体"/>
          <w:sz w:val="24"/>
        </w:rPr>
      </w:pPr>
      <w:r>
        <w:rPr>
          <w:rFonts w:hint="eastAsia" w:ascii="宋体" w:hAnsi="宋体"/>
          <w:sz w:val="24"/>
        </w:rPr>
        <w:t> （3）不符合技术规格、技术标准的要求；</w:t>
      </w:r>
    </w:p>
    <w:p>
      <w:pPr>
        <w:widowControl/>
        <w:spacing w:line="360" w:lineRule="auto"/>
        <w:ind w:firstLine="240" w:firstLineChars="100"/>
        <w:jc w:val="left"/>
        <w:rPr>
          <w:rFonts w:ascii="宋体" w:hAnsi="宋体"/>
          <w:sz w:val="24"/>
        </w:rPr>
      </w:pPr>
      <w:r>
        <w:rPr>
          <w:rFonts w:hint="eastAsia" w:ascii="宋体" w:hAnsi="宋体"/>
          <w:sz w:val="24"/>
        </w:rPr>
        <w:t>（4）不符合服务和商务（售后）要求；</w:t>
      </w:r>
    </w:p>
    <w:p>
      <w:pPr>
        <w:widowControl/>
        <w:spacing w:line="360" w:lineRule="auto"/>
        <w:ind w:firstLine="240" w:firstLineChars="100"/>
        <w:jc w:val="left"/>
        <w:rPr>
          <w:rFonts w:ascii="宋体" w:hAnsi="宋体"/>
          <w:sz w:val="24"/>
        </w:rPr>
      </w:pPr>
      <w:r>
        <w:rPr>
          <w:rFonts w:hint="eastAsia" w:ascii="宋体" w:hAnsi="宋体"/>
          <w:sz w:val="24"/>
        </w:rPr>
        <w:t>（5）报价文件附有采购人不能接受的条件；</w:t>
      </w:r>
    </w:p>
    <w:p>
      <w:pPr>
        <w:widowControl/>
        <w:spacing w:line="360" w:lineRule="auto"/>
        <w:jc w:val="left"/>
        <w:rPr>
          <w:rFonts w:ascii="宋体" w:hAnsi="宋体"/>
          <w:sz w:val="24"/>
        </w:rPr>
      </w:pPr>
      <w:r>
        <w:rPr>
          <w:rFonts w:hint="eastAsia" w:ascii="宋体" w:hAnsi="宋体"/>
          <w:sz w:val="24"/>
        </w:rPr>
        <w:t> （6）不符合竞价文件中规定的其他实质性要求。</w:t>
      </w:r>
    </w:p>
    <w:p>
      <w:pPr>
        <w:widowControl/>
        <w:spacing w:line="360" w:lineRule="auto"/>
        <w:ind w:firstLine="480" w:firstLineChars="200"/>
        <w:jc w:val="left"/>
        <w:rPr>
          <w:rFonts w:ascii="宋体" w:hAnsi="宋体"/>
          <w:sz w:val="24"/>
        </w:rPr>
      </w:pPr>
      <w:r>
        <w:rPr>
          <w:rFonts w:hint="eastAsia" w:ascii="宋体" w:hAnsi="宋体"/>
          <w:sz w:val="24"/>
        </w:rPr>
        <w:t>报价文件有上述情形之一的，认定为未对竞价文件作出实质性响应，</w:t>
      </w:r>
      <w:r>
        <w:rPr>
          <w:rFonts w:hint="eastAsia" w:ascii="宋体" w:hAnsi="宋体"/>
          <w:b/>
          <w:bCs/>
          <w:sz w:val="24"/>
        </w:rPr>
        <w:t>作无效报价处理</w:t>
      </w:r>
      <w:r>
        <w:rPr>
          <w:rFonts w:hint="eastAsia" w:ascii="宋体" w:hAnsi="宋体"/>
          <w:sz w:val="24"/>
        </w:rPr>
        <w:t>。</w:t>
      </w:r>
    </w:p>
    <w:p>
      <w:pPr>
        <w:widowControl/>
        <w:spacing w:line="360" w:lineRule="auto"/>
        <w:jc w:val="left"/>
      </w:pPr>
      <w:r>
        <w:rPr>
          <w:rFonts w:hint="eastAsia" w:ascii="宋体" w:hAnsi="宋体"/>
          <w:sz w:val="24"/>
        </w:rPr>
        <w:t>  2、细微偏差。报价文件在实质上响应竞价公告要求，但在个别地方存在漏项或者提供了不完整的技术信息和数据等情况，并且补正这些遗漏或者不完整不会对其他竞价人造成不公平的结果。细微偏差不影响报价文件的有效性。</w:t>
      </w:r>
    </w:p>
    <w:p>
      <w:pPr>
        <w:widowControl/>
        <w:spacing w:line="360" w:lineRule="auto"/>
        <w:jc w:val="left"/>
        <w:rPr>
          <w:rFonts w:ascii="宋体" w:hAnsi="宋体"/>
          <w:sz w:val="24"/>
        </w:rPr>
      </w:pPr>
      <w:r>
        <w:rPr>
          <w:rFonts w:hint="eastAsia" w:ascii="宋体" w:hAnsi="宋体"/>
          <w:sz w:val="24"/>
        </w:rPr>
        <w:t>  对存在细微偏差的竞价人要求在审核结束前予以补正。补正的程序和方法按照法律法规对澄清的规定执行。无法补正的，可在审核时对细微偏差作不利于该竞价人的认定。3个以上（含3个）的累积细微偏差视为技术商务不合格，该竞价人不予推荐为成交候选人。</w:t>
      </w:r>
    </w:p>
    <w:p>
      <w:pPr>
        <w:widowControl/>
        <w:spacing w:line="360" w:lineRule="auto"/>
        <w:jc w:val="left"/>
        <w:rPr>
          <w:rFonts w:ascii="宋体" w:hAnsi="宋体"/>
          <w:sz w:val="24"/>
        </w:rPr>
      </w:pPr>
      <w:r>
        <w:rPr>
          <w:rFonts w:hint="eastAsia" w:ascii="宋体" w:hAnsi="宋体"/>
          <w:sz w:val="24"/>
        </w:rPr>
        <w:t> 3、审核时依据竞价人的全部报价材料，对照竞价文件要求进行审核，逐一核对竞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竞价人进行书面澄清，并以不利于竞价人的内容为准进行审核。竞价人的澄清、说明应当采用书面形式，并不得超出报价文件的范围或者改变报价文件的实质性内容。竞价人按要求进行澄清的，采购人以澄清内容为准进行验收；竞价人未按要求进行澄清的，采购人以报价描述、证明材料中有利于采购人的内容进行验收。</w:t>
      </w:r>
    </w:p>
    <w:p>
      <w:pPr>
        <w:spacing w:line="460" w:lineRule="exact"/>
        <w:jc w:val="left"/>
        <w:rPr>
          <w:rFonts w:ascii="宋体" w:hAnsi="宋体" w:cs="宋体"/>
          <w:b/>
          <w:kern w:val="0"/>
          <w:sz w:val="24"/>
          <w:szCs w:val="24"/>
        </w:rPr>
      </w:pPr>
      <w:r>
        <w:rPr>
          <w:rFonts w:hint="eastAsia" w:ascii="宋体" w:hAnsi="宋体" w:cs="宋体"/>
          <w:b/>
          <w:kern w:val="0"/>
          <w:sz w:val="24"/>
          <w:szCs w:val="24"/>
        </w:rPr>
        <w:t>八、质疑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(五)必要的法律依据;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3"/>
          <w:rFonts w:hint="eastAsia" w:ascii="宋体" w:hAnsi="宋体"/>
          <w:sz w:val="28"/>
          <w:szCs w:val="28"/>
        </w:rPr>
        <w:t>福建农林大学网上竞价（服务类）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autoSpaceDN w:val="0"/>
        <w:spacing w:line="360" w:lineRule="auto"/>
        <w:jc w:val="center"/>
        <w:rPr>
          <w:rStyle w:val="23"/>
          <w:rFonts w:ascii="宋体" w:hAnsi="宋体"/>
        </w:rPr>
      </w:pPr>
      <w:r>
        <w:rPr>
          <w:rStyle w:val="23"/>
          <w:rFonts w:ascii="宋体" w:hAnsi="宋体"/>
          <w:sz w:val="28"/>
          <w:szCs w:val="28"/>
        </w:rPr>
        <w:t>编制说明</w:t>
      </w:r>
    </w:p>
    <w:p>
      <w:pPr>
        <w:pStyle w:val="16"/>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6"/>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6"/>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6"/>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6"/>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6"/>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6"/>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6"/>
        <w:spacing w:before="0" w:beforeAutospacing="0" w:after="0" w:afterAutospacing="0" w:line="360" w:lineRule="auto"/>
        <w:ind w:firstLine="480"/>
        <w:rPr>
          <w:rFonts w:ascii="宋体" w:hAnsi="宋体"/>
          <w:szCs w:val="24"/>
        </w:rPr>
      </w:pPr>
      <w:r>
        <w:rPr>
          <w:rFonts w:ascii="宋体" w:hAnsi="宋体"/>
          <w:szCs w:val="24"/>
        </w:rPr>
        <w:t>1.1合同条款；</w:t>
      </w:r>
    </w:p>
    <w:p>
      <w:pPr>
        <w:pStyle w:val="16"/>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6"/>
        <w:spacing w:before="0" w:beforeAutospacing="0" w:after="0" w:afterAutospacing="0" w:line="360" w:lineRule="auto"/>
        <w:rPr>
          <w:rFonts w:ascii="宋体" w:hAnsi="宋体"/>
          <w:szCs w:val="24"/>
        </w:rPr>
      </w:pPr>
      <w:r>
        <w:rPr>
          <w:rFonts w:ascii="宋体" w:hAnsi="宋体"/>
          <w:szCs w:val="24"/>
        </w:rPr>
        <w:t>2、合同标的</w:t>
      </w:r>
    </w:p>
    <w:p>
      <w:pPr>
        <w:pStyle w:val="16"/>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6"/>
              <w:spacing w:before="0" w:beforeAutospacing="0" w:after="0" w:afterAutospacing="0" w:line="360" w:lineRule="auto"/>
              <w:rPr>
                <w:rFonts w:ascii="宋体" w:hAnsi="宋体" w:cs="宋体"/>
                <w:szCs w:val="24"/>
              </w:rPr>
            </w:pPr>
          </w:p>
        </w:tc>
        <w:tc>
          <w:tcPr>
            <w:tcW w:w="789"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44"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68" w:type="dxa"/>
          </w:tcPr>
          <w:p>
            <w:pPr>
              <w:pStyle w:val="16"/>
              <w:spacing w:before="0" w:beforeAutospacing="0" w:after="0" w:afterAutospacing="0" w:line="360" w:lineRule="auto"/>
              <w:rPr>
                <w:rFonts w:ascii="宋体" w:hAnsi="宋体" w:cs="宋体"/>
                <w:szCs w:val="24"/>
              </w:rPr>
            </w:pPr>
          </w:p>
        </w:tc>
      </w:tr>
    </w:tbl>
    <w:p>
      <w:pPr>
        <w:pStyle w:val="16"/>
        <w:spacing w:before="0" w:beforeAutospacing="0" w:after="0" w:afterAutospacing="0" w:line="360" w:lineRule="auto"/>
        <w:ind w:firstLine="480"/>
        <w:rPr>
          <w:rFonts w:ascii="宋体" w:hAnsi="宋体"/>
          <w:szCs w:val="24"/>
        </w:rPr>
      </w:pPr>
      <w:r>
        <w:rPr>
          <w:rFonts w:ascii="宋体" w:hAnsi="宋体"/>
          <w:szCs w:val="24"/>
        </w:rPr>
        <w:t>3、合同总金额</w:t>
      </w:r>
    </w:p>
    <w:p>
      <w:pPr>
        <w:pStyle w:val="16"/>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6"/>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6"/>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6"/>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6"/>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6"/>
        <w:spacing w:before="0" w:beforeAutospacing="0" w:after="0" w:afterAutospacing="0" w:line="360" w:lineRule="auto"/>
        <w:ind w:left="480"/>
        <w:rPr>
          <w:rFonts w:ascii="宋体" w:hAnsi="宋体"/>
          <w:szCs w:val="24"/>
        </w:rPr>
      </w:pPr>
      <w:r>
        <w:rPr>
          <w:rFonts w:ascii="宋体" w:hAnsi="宋体"/>
          <w:szCs w:val="24"/>
        </w:rPr>
        <w:t>□不邀请。</w:t>
      </w:r>
    </w:p>
    <w:p>
      <w:pPr>
        <w:pStyle w:val="16"/>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6"/>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6"/>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p>
        </w:tc>
        <w:tc>
          <w:tcPr>
            <w:tcW w:w="3686" w:type="dxa"/>
          </w:tcPr>
          <w:p>
            <w:pPr>
              <w:pStyle w:val="16"/>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6"/>
        <w:spacing w:before="0" w:beforeAutospacing="0" w:after="0" w:afterAutospacing="0" w:line="360" w:lineRule="auto"/>
        <w:ind w:firstLine="480"/>
        <w:rPr>
          <w:rFonts w:ascii="宋体" w:hAnsi="宋体"/>
          <w:szCs w:val="24"/>
        </w:rPr>
      </w:pPr>
    </w:p>
    <w:p>
      <w:pPr>
        <w:pStyle w:val="16"/>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6"/>
        <w:spacing w:before="0" w:beforeAutospacing="0" w:after="0" w:afterAutospacing="0" w:line="360" w:lineRule="auto"/>
        <w:ind w:firstLine="480"/>
        <w:rPr>
          <w:rFonts w:ascii="宋体" w:hAnsi="宋体"/>
          <w:szCs w:val="24"/>
        </w:rPr>
      </w:pPr>
      <w:r>
        <w:rPr>
          <w:rFonts w:ascii="宋体" w:hAnsi="宋体"/>
          <w:szCs w:val="24"/>
        </w:rPr>
        <w:t>□无。</w:t>
      </w:r>
    </w:p>
    <w:p>
      <w:pPr>
        <w:pStyle w:val="16"/>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6"/>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10、违约责任</w:t>
      </w:r>
    </w:p>
    <w:p>
      <w:pPr>
        <w:pStyle w:val="16"/>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6"/>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6"/>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6"/>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6"/>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6"/>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6"/>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6"/>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6"/>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6"/>
        <w:spacing w:before="0" w:beforeAutospacing="0" w:after="0" w:afterAutospacing="0" w:line="360" w:lineRule="auto"/>
        <w:ind w:firstLine="480"/>
        <w:rPr>
          <w:rFonts w:ascii="宋体" w:hAnsi="宋体"/>
          <w:szCs w:val="24"/>
        </w:rPr>
      </w:pPr>
      <w:r>
        <w:rPr>
          <w:rFonts w:ascii="宋体" w:hAnsi="宋体"/>
          <w:szCs w:val="24"/>
        </w:rPr>
        <w:t>13、不可抗力</w:t>
      </w:r>
    </w:p>
    <w:p>
      <w:pPr>
        <w:pStyle w:val="16"/>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szCs w:val="24"/>
        </w:rPr>
      </w:pPr>
      <w:r>
        <w:rPr>
          <w:rFonts w:ascii="宋体" w:hAnsi="宋体"/>
          <w:szCs w:val="24"/>
        </w:rPr>
        <w:t>14、合同条款</w:t>
      </w:r>
    </w:p>
    <w:p>
      <w:pPr>
        <w:pStyle w:val="16"/>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6"/>
        <w:spacing w:before="0" w:beforeAutospacing="0" w:after="0" w:afterAutospacing="0" w:line="360" w:lineRule="auto"/>
        <w:ind w:firstLine="480"/>
        <w:rPr>
          <w:rFonts w:ascii="宋体" w:hAnsi="宋体"/>
          <w:szCs w:val="24"/>
        </w:rPr>
      </w:pPr>
      <w:r>
        <w:rPr>
          <w:rFonts w:ascii="宋体" w:hAnsi="宋体"/>
          <w:szCs w:val="24"/>
        </w:rPr>
        <w:t>15、其他约定</w:t>
      </w:r>
    </w:p>
    <w:p>
      <w:pPr>
        <w:pStyle w:val="16"/>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6"/>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6"/>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6"/>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6"/>
        <w:spacing w:before="0" w:beforeAutospacing="0" w:after="0" w:afterAutospacing="0" w:line="360" w:lineRule="auto"/>
        <w:ind w:firstLine="480"/>
        <w:rPr>
          <w:rFonts w:ascii="宋体" w:hAnsi="宋体"/>
          <w:szCs w:val="24"/>
        </w:rPr>
      </w:pPr>
      <w:r>
        <w:rPr>
          <w:rFonts w:ascii="宋体" w:hAnsi="宋体"/>
          <w:szCs w:val="24"/>
        </w:rPr>
        <w:t>15.5其他：□无。</w:t>
      </w:r>
    </w:p>
    <w:p>
      <w:pPr>
        <w:pStyle w:val="16"/>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0" w:beforeAutospacing="0" w:after="0" w:afterAutospacing="0" w:line="360" w:lineRule="auto"/>
        <w:rPr>
          <w:rFonts w:ascii="宋体" w:hAnsi="宋体" w:cs="宋体"/>
          <w:szCs w:val="24"/>
        </w:rPr>
      </w:pP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6"/>
        <w:spacing w:before="75" w:after="75" w:line="360" w:lineRule="auto"/>
        <w:rPr>
          <w:rFonts w:ascii="宋体" w:hAnsi="宋体" w:cs="宋体"/>
          <w:szCs w:val="24"/>
        </w:rPr>
      </w:pPr>
    </w:p>
    <w:p>
      <w:pPr>
        <w:pStyle w:val="16"/>
        <w:spacing w:before="75" w:after="75" w:line="360" w:lineRule="auto"/>
        <w:rPr>
          <w:rFonts w:ascii="宋体" w:hAnsi="宋体"/>
          <w:szCs w:val="24"/>
        </w:rPr>
      </w:pPr>
    </w:p>
    <w:p>
      <w:pPr>
        <w:spacing w:line="360" w:lineRule="auto"/>
        <w:jc w:val="center"/>
        <w:rPr>
          <w:rFonts w:ascii="宋体" w:hAnsi="宋体"/>
          <w:b/>
          <w:sz w:val="28"/>
          <w:szCs w:val="28"/>
        </w:rPr>
      </w:pPr>
      <w:r>
        <w:rPr>
          <w:rStyle w:val="23"/>
          <w:rFonts w:hint="eastAsia" w:ascii="宋体" w:hAnsi="宋体"/>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6"/>
        <w:spacing w:before="75" w:after="75"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75" w:after="75" w:line="360" w:lineRule="auto"/>
        <w:rPr>
          <w:rFonts w:ascii="宋体" w:hAnsi="宋体"/>
          <w:szCs w:val="24"/>
        </w:rPr>
      </w:pPr>
      <w:r>
        <w:rPr>
          <w:rFonts w:ascii="宋体" w:hAnsi="宋体"/>
          <w:szCs w:val="24"/>
        </w:rPr>
        <w:t> </w:t>
      </w:r>
    </w:p>
    <w:p>
      <w:pPr>
        <w:spacing w:line="480" w:lineRule="exact"/>
        <w:jc w:val="left"/>
        <w:rPr>
          <w:rFonts w:ascii="宋体" w:hAnsi="宋体"/>
          <w:sz w:val="24"/>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240" w:line="360" w:lineRule="auto"/>
        <w:rPr>
          <w:rFonts w:ascii="宋体" w:hAnsi="宋体"/>
          <w:szCs w:val="24"/>
        </w:rPr>
      </w:pPr>
      <w:r>
        <w:rPr>
          <w:rFonts w:ascii="宋体" w:hAnsi="宋体"/>
          <w:szCs w:val="24"/>
        </w:rPr>
        <w:t>                                                                          </w:t>
      </w:r>
    </w:p>
    <w:p>
      <w:pPr>
        <w:rPr>
          <w:rFonts w:ascii="宋体" w:hAnsi="宋体"/>
        </w:rPr>
      </w:pPr>
    </w:p>
    <w:p>
      <w:pPr>
        <w:pStyle w:val="16"/>
        <w:spacing w:before="75" w:after="75" w:line="360" w:lineRule="auto"/>
        <w:rPr>
          <w:rFonts w:ascii="宋体" w:hAnsi="宋体"/>
          <w:szCs w:val="24"/>
        </w:rPr>
      </w:pPr>
    </w:p>
    <w:p>
      <w:pPr>
        <w:pStyle w:val="16"/>
        <w:spacing w:before="75" w:after="240" w:line="360" w:lineRule="auto"/>
        <w:rPr>
          <w:rFonts w:ascii="宋体" w:hAnsi="宋体"/>
          <w:szCs w:val="24"/>
        </w:rPr>
      </w:pPr>
      <w:r>
        <w:rPr>
          <w:rFonts w:ascii="宋体" w:hAnsi="宋体"/>
          <w:szCs w:val="24"/>
        </w:rPr>
        <w:t>                                                                          </w:t>
      </w:r>
    </w:p>
    <w:p>
      <w:pPr>
        <w:pStyle w:val="16"/>
        <w:spacing w:before="75" w:after="75"/>
        <w:rPr>
          <w:rFonts w:ascii="宋体" w:hAnsi="宋体"/>
          <w:szCs w:val="24"/>
        </w:rPr>
      </w:pPr>
      <w:r>
        <w:rPr>
          <w:rFonts w:ascii="宋体" w:hAnsi="宋体"/>
          <w:szCs w:val="24"/>
        </w:rPr>
        <w:t>                                                                          </w:t>
      </w: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2"/>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p>
    <w:p>
      <w:pPr>
        <w:spacing w:line="500" w:lineRule="atLeast"/>
        <w:ind w:firstLine="2108" w:firstLineChars="750"/>
        <w:rPr>
          <w:rFonts w:ascii="宋体" w:hAnsi="宋体"/>
          <w:sz w:val="24"/>
        </w:rPr>
      </w:pPr>
      <w:r>
        <w:rPr>
          <w:rFonts w:hint="eastAsia" w:ascii="宋体" w:hAnsi="宋体"/>
          <w:b/>
          <w:bCs/>
          <w:sz w:val="28"/>
          <w:szCs w:val="21"/>
        </w:rPr>
        <w:t>日      期：</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6"/>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 传真：</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日期：年月日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6"/>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6"/>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 传真：</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p>
    <w:p>
      <w:pPr>
        <w:widowControl/>
        <w:spacing w:line="360" w:lineRule="auto"/>
        <w:jc w:val="left"/>
        <w:rPr>
          <w:rFonts w:ascii="宋体" w:hAnsi="宋体" w:cs="宋体"/>
          <w:kern w:val="0"/>
          <w:sz w:val="24"/>
          <w:u w:val="single"/>
        </w:rPr>
      </w:pPr>
      <w:r>
        <w:rPr>
          <w:rFonts w:hint="eastAsia" w:ascii="宋体" w:hAnsi="宋体" w:cs="宋体"/>
          <w:kern w:val="0"/>
          <w:sz w:val="24"/>
        </w:rPr>
        <w:t>日期：年月日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2"/>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highlight w:val="yellow"/>
        </w:rPr>
        <w:t>附件：资格承诺函</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4"/>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4"/>
        <w:spacing w:line="500" w:lineRule="exact"/>
        <w:jc w:val="left"/>
        <w:rPr>
          <w:rFonts w:hAnsi="宋体"/>
          <w:sz w:val="24"/>
          <w:szCs w:val="24"/>
        </w:rPr>
      </w:pPr>
      <w:r>
        <w:rPr>
          <w:rFonts w:hint="eastAsia" w:hAnsi="宋体"/>
          <w:sz w:val="24"/>
          <w:szCs w:val="24"/>
        </w:rPr>
        <w:t>1.我单位具有符合竞价文件资格要求的财务状况报告。</w:t>
      </w:r>
    </w:p>
    <w:p>
      <w:pPr>
        <w:pStyle w:val="44"/>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4"/>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4"/>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4"/>
        <w:spacing w:line="500" w:lineRule="exact"/>
        <w:jc w:val="left"/>
        <w:rPr>
          <w:rFonts w:hAnsi="宋体"/>
          <w:sz w:val="24"/>
          <w:szCs w:val="24"/>
        </w:rPr>
      </w:pPr>
    </w:p>
    <w:p>
      <w:pPr>
        <w:pStyle w:val="44"/>
        <w:spacing w:line="500" w:lineRule="exact"/>
        <w:jc w:val="left"/>
        <w:rPr>
          <w:rFonts w:hAnsi="宋体"/>
          <w:sz w:val="24"/>
          <w:szCs w:val="24"/>
        </w:rPr>
      </w:pPr>
      <w:r>
        <w:rPr>
          <w:rFonts w:hint="eastAsia" w:hAnsi="宋体"/>
          <w:sz w:val="24"/>
          <w:szCs w:val="24"/>
        </w:rPr>
        <w:t xml:space="preserve">承诺供应商（全称并加盖公章）：              </w:t>
      </w:r>
    </w:p>
    <w:p>
      <w:pPr>
        <w:pStyle w:val="44"/>
        <w:spacing w:line="500" w:lineRule="exact"/>
        <w:jc w:val="left"/>
        <w:rPr>
          <w:rFonts w:hAnsi="宋体"/>
          <w:sz w:val="24"/>
          <w:szCs w:val="24"/>
        </w:rPr>
      </w:pPr>
      <w:r>
        <w:rPr>
          <w:rFonts w:hint="eastAsia" w:hAnsi="宋体"/>
          <w:sz w:val="24"/>
          <w:szCs w:val="24"/>
        </w:rPr>
        <w:t xml:space="preserve">单位负责人或授权代表（签字）：              </w:t>
      </w:r>
    </w:p>
    <w:p>
      <w:pPr>
        <w:pStyle w:val="44"/>
        <w:spacing w:line="500" w:lineRule="exact"/>
        <w:jc w:val="left"/>
        <w:rPr>
          <w:rFonts w:hAnsi="宋体"/>
          <w:sz w:val="24"/>
          <w:szCs w:val="24"/>
        </w:rPr>
      </w:pPr>
      <w:r>
        <w:rPr>
          <w:rFonts w:hint="eastAsia" w:hAnsi="宋体"/>
          <w:sz w:val="24"/>
          <w:szCs w:val="24"/>
        </w:rPr>
        <w:t xml:space="preserve">日期：              </w:t>
      </w:r>
    </w:p>
    <w:p>
      <w:pPr>
        <w:pStyle w:val="44"/>
        <w:spacing w:line="500" w:lineRule="exact"/>
        <w:jc w:val="left"/>
        <w:rPr>
          <w:rFonts w:hAnsi="宋体"/>
          <w:sz w:val="24"/>
          <w:szCs w:val="24"/>
        </w:rPr>
      </w:pPr>
      <w:r>
        <w:rPr>
          <w:rFonts w:hint="eastAsia" w:hAnsi="宋体"/>
          <w:sz w:val="24"/>
          <w:szCs w:val="24"/>
        </w:rPr>
        <w:t xml:space="preserve">﹍﹍﹍﹍﹍﹍﹍﹍﹍﹍﹍﹍﹍﹍﹍﹍﹍﹍﹍﹍﹍﹍﹍﹍﹍﹍﹍    </w:t>
      </w:r>
    </w:p>
    <w:p>
      <w:pPr>
        <w:pStyle w:val="44"/>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szCs w:val="24"/>
          <w:highlight w:val="yellow"/>
        </w:rPr>
        <w:t>**招标有限公司</w:t>
      </w:r>
      <w:r>
        <w:rPr>
          <w:rFonts w:hint="eastAsia" w:ascii="宋体" w:hAnsi="宋体"/>
          <w:sz w:val="24"/>
        </w:rPr>
        <w:t>：</w:t>
      </w:r>
    </w:p>
    <w:p>
      <w:pPr>
        <w:pStyle w:val="8"/>
        <w:snapToGrid w:val="0"/>
        <w:spacing w:line="500" w:lineRule="exact"/>
        <w:ind w:firstLine="480" w:firstLineChars="200"/>
        <w:jc w:val="left"/>
        <w:rPr>
          <w:rFonts w:hAnsi="宋体"/>
          <w:sz w:val="24"/>
          <w:szCs w:val="24"/>
        </w:rPr>
      </w:pPr>
      <w:r>
        <w:rPr>
          <w:rFonts w:hint="eastAsia" w:hAnsi="宋体"/>
          <w:sz w:val="24"/>
          <w:szCs w:val="24"/>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8"/>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竞价人的委托代理人：性别：身份证号：</w:t>
      </w:r>
    </w:p>
    <w:p>
      <w:pPr>
        <w:spacing w:line="500" w:lineRule="exact"/>
        <w:rPr>
          <w:rFonts w:ascii="宋体" w:hAnsi="宋体"/>
          <w:sz w:val="24"/>
        </w:rPr>
      </w:pPr>
      <w:r>
        <w:rPr>
          <w:rFonts w:hint="eastAsia" w:ascii="宋体" w:hAnsi="宋体"/>
          <w:sz w:val="24"/>
        </w:rPr>
        <w:t>单位：部门：职务：</w:t>
      </w:r>
    </w:p>
    <w:p>
      <w:pPr>
        <w:spacing w:line="500" w:lineRule="exact"/>
        <w:rPr>
          <w:rFonts w:ascii="宋体" w:hAnsi="宋体"/>
          <w:sz w:val="24"/>
        </w:rPr>
      </w:pPr>
      <w:r>
        <w:rPr>
          <w:rFonts w:hint="eastAsia" w:ascii="宋体" w:hAnsi="宋体"/>
          <w:sz w:val="24"/>
        </w:rPr>
        <w:t>详细通讯地址：邮政编码</w:t>
      </w:r>
      <w:r>
        <w:rPr>
          <w:rFonts w:ascii="宋体" w:hAnsi="宋体"/>
          <w:sz w:val="24"/>
        </w:rPr>
        <w:t>:</w:t>
      </w:r>
      <w:r>
        <w:rPr>
          <w:rFonts w:hint="eastAsia" w:ascii="宋体" w:hAnsi="宋体"/>
          <w:sz w:val="24"/>
        </w:rPr>
        <w:t xml:space="preserve"> 电话：</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rPr>
      </w:pPr>
      <w:r>
        <w:rPr>
          <w:rFonts w:hint="eastAsia" w:ascii="宋体" w:hAnsi="宋体"/>
          <w:sz w:val="24"/>
          <w:szCs w:val="21"/>
        </w:rPr>
        <w:t>致：</w:t>
      </w:r>
      <w:r>
        <w:rPr>
          <w:rFonts w:hint="eastAsia" w:ascii="宋体" w:hAnsi="宋体"/>
          <w:sz w:val="24"/>
          <w:szCs w:val="24"/>
          <w:highlight w:val="yellow"/>
        </w:rPr>
        <w:t>**招标有限公司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邮编： </w:t>
      </w:r>
    </w:p>
    <w:p>
      <w:pPr>
        <w:spacing w:line="500" w:lineRule="exact"/>
        <w:rPr>
          <w:rFonts w:ascii="宋体" w:hAnsi="宋体"/>
          <w:sz w:val="24"/>
          <w:u w:val="single"/>
        </w:rPr>
      </w:pPr>
      <w:r>
        <w:rPr>
          <w:rFonts w:hint="eastAsia" w:ascii="宋体" w:hAnsi="宋体"/>
          <w:sz w:val="24"/>
        </w:rPr>
        <w:t xml:space="preserve">      手机：  传真： </w:t>
      </w:r>
    </w:p>
    <w:p>
      <w:pPr>
        <w:spacing w:line="500" w:lineRule="exact"/>
        <w:rPr>
          <w:rFonts w:ascii="宋体" w:hAnsi="宋体"/>
          <w:sz w:val="24"/>
          <w:u w:val="single"/>
        </w:rPr>
      </w:pPr>
      <w:r>
        <w:rPr>
          <w:rFonts w:hint="eastAsia" w:ascii="宋体" w:hAnsi="宋体"/>
          <w:sz w:val="24"/>
        </w:rPr>
        <w:t xml:space="preserve">      竞价人授权代表签字： </w:t>
      </w:r>
    </w:p>
    <w:p>
      <w:pPr>
        <w:spacing w:line="500" w:lineRule="exact"/>
        <w:rPr>
          <w:rFonts w:ascii="宋体" w:hAnsi="宋体"/>
          <w:sz w:val="24"/>
        </w:rPr>
      </w:pPr>
      <w:r>
        <w:rPr>
          <w:rFonts w:hint="eastAsia" w:ascii="宋体" w:hAnsi="宋体"/>
          <w:sz w:val="24"/>
        </w:rPr>
        <w:t xml:space="preserve">      竞价人（全称并加盖公章）：</w:t>
      </w:r>
    </w:p>
    <w:p>
      <w:pPr>
        <w:tabs>
          <w:tab w:val="left" w:pos="5355"/>
        </w:tabs>
        <w:spacing w:line="500" w:lineRule="exact"/>
        <w:rPr>
          <w:rFonts w:ascii="宋体" w:hAnsi="宋体"/>
          <w:sz w:val="24"/>
        </w:rPr>
      </w:pPr>
      <w:r>
        <w:rPr>
          <w:rFonts w:hint="eastAsia" w:ascii="宋体" w:hAnsi="宋体"/>
          <w:sz w:val="24"/>
        </w:rPr>
        <w:t xml:space="preserve">      日  期： 年 月 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yellow"/>
              </w:rPr>
            </w:pPr>
            <w:r>
              <w:rPr>
                <w:rFonts w:hint="eastAsia" w:ascii="宋体" w:hAnsi="宋体"/>
                <w:sz w:val="24"/>
                <w:highlight w:val="yellow"/>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w:t>
      </w:r>
      <w:r>
        <w:rPr>
          <w:rFonts w:hint="eastAsia" w:ascii="宋体" w:hAnsi="宋体"/>
          <w:b/>
          <w:sz w:val="24"/>
          <w:szCs w:val="24"/>
          <w:u w:val="single"/>
        </w:rPr>
        <w:t>97</w:t>
      </w:r>
      <w:r>
        <w:rPr>
          <w:rFonts w:ascii="宋体" w:hAnsi="宋体"/>
          <w:b/>
          <w:sz w:val="24"/>
          <w:szCs w:val="24"/>
          <w:u w:val="single"/>
        </w:rPr>
        <w:t>%（不含）以上，报价单价不能超过竞价文件的单价最高限价，否则，视为无效报价</w:t>
      </w:r>
      <w:r>
        <w:rPr>
          <w:rFonts w:hint="eastAsia" w:ascii="宋体" w:hAnsi="宋体"/>
          <w:b/>
          <w:sz w:val="24"/>
          <w:szCs w:val="24"/>
          <w:u w:val="single"/>
        </w:rPr>
        <w:t>。</w:t>
      </w:r>
    </w:p>
    <w:p>
      <w:pPr>
        <w:pStyle w:val="19"/>
        <w:ind w:firstLine="482"/>
        <w:rPr>
          <w:rFonts w:ascii="宋体" w:hAnsi="宋体"/>
        </w:rPr>
      </w:pPr>
      <w:r>
        <w:rPr>
          <w:rFonts w:hint="eastAsia" w:ascii="宋体" w:hAnsi="宋体"/>
          <w:b/>
          <w:sz w:val="24"/>
          <w:u w:val="single"/>
        </w:rPr>
        <w:t>（2）竞价人应以包括本项目所涉及的有关项目的所有费用进行报价，</w:t>
      </w:r>
      <w:r>
        <w:rPr>
          <w:rFonts w:hint="eastAsia" w:ascii="宋体" w:hAnsi="宋体"/>
          <w:b/>
          <w:sz w:val="24"/>
          <w:highlight w:val="yellow"/>
          <w:u w:val="single"/>
        </w:rPr>
        <w:t>包括：报价应包含                          。</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p>
    <w:p>
      <w:pPr>
        <w:spacing w:line="440" w:lineRule="exact"/>
        <w:rPr>
          <w:rFonts w:ascii="宋体" w:hAnsi="宋体" w:cs="宋体"/>
          <w:b/>
          <w:kern w:val="0"/>
          <w:sz w:val="24"/>
          <w:szCs w:val="24"/>
        </w:rPr>
      </w:pPr>
      <w:r>
        <w:rPr>
          <w:rFonts w:hint="eastAsia" w:ascii="宋体" w:hAnsi="宋体"/>
          <w:sz w:val="24"/>
          <w:szCs w:val="24"/>
        </w:rPr>
        <w:t>日  期： 年 月 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6"/>
        <w:widowControl/>
        <w:spacing w:before="0" w:beforeAutospacing="0" w:after="150" w:afterAutospacing="0"/>
        <w:rPr>
          <w:rFonts w:ascii="宋体" w:hAnsi="宋体"/>
          <w:szCs w:val="24"/>
        </w:rPr>
      </w:pPr>
      <w:r>
        <w:rPr>
          <w:rFonts w:hint="eastAsia" w:ascii="宋体" w:hAnsi="宋体" w:cs="宋体"/>
          <w:szCs w:val="24"/>
        </w:rPr>
        <w:t> </w:t>
      </w:r>
    </w:p>
    <w:p>
      <w:pPr>
        <w:pStyle w:val="16"/>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rPr>
          <w:rFonts w:ascii="宋体" w:hAnsi="宋体" w:cs="宋体"/>
          <w:b/>
          <w:kern w:val="0"/>
          <w:sz w:val="24"/>
        </w:rPr>
      </w:pPr>
      <w:r>
        <w:rPr>
          <w:rFonts w:ascii="宋体" w:hAnsi="宋体"/>
          <w:b/>
          <w:sz w:val="28"/>
          <w:szCs w:val="28"/>
        </w:rPr>
        <w:br w:type="page"/>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sz w:val="24"/>
        </w:rPr>
      </w:pPr>
      <w:r>
        <w:rPr>
          <w:rFonts w:hint="eastAsia" w:ascii="宋体" w:hAnsi="宋体"/>
          <w:sz w:val="24"/>
        </w:rPr>
        <w:t>日  期： 年 月 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w:t>
      </w:r>
      <w:r>
        <w:rPr>
          <w:rFonts w:hint="eastAsia" w:ascii="宋体" w:hAnsi="宋体"/>
          <w:sz w:val="24"/>
          <w:highlight w:val="yellow"/>
        </w:rPr>
        <w:t>**招标有限公司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sz w:val="24"/>
        </w:rPr>
        <w:t xml:space="preserve">公告（项目编号）: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p>
    <w:p>
      <w:pPr>
        <w:spacing w:line="500" w:lineRule="exact"/>
        <w:rPr>
          <w:rFonts w:ascii="宋体" w:hAnsi="宋体"/>
          <w:sz w:val="24"/>
        </w:rPr>
      </w:pPr>
      <w:r>
        <w:rPr>
          <w:rFonts w:hint="eastAsia" w:ascii="宋体" w:hAnsi="宋体"/>
          <w:sz w:val="24"/>
        </w:rPr>
        <w:t xml:space="preserve">  电话： 传真：</w:t>
      </w:r>
    </w:p>
    <w:p>
      <w:pPr>
        <w:spacing w:line="500" w:lineRule="exact"/>
        <w:rPr>
          <w:rFonts w:ascii="宋体" w:hAnsi="宋体"/>
          <w:sz w:val="24"/>
        </w:rPr>
      </w:pPr>
      <w:r>
        <w:rPr>
          <w:rFonts w:hint="eastAsia" w:ascii="宋体" w:hAnsi="宋体"/>
          <w:sz w:val="24"/>
        </w:rPr>
        <w:t xml:space="preserve">  竞价人法定代表人签字或授权代表签字：</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highlight w:val="yellow"/>
        </w:rPr>
        <w:t>**招标有限公司</w:t>
      </w:r>
    </w:p>
    <w:p>
      <w:pPr>
        <w:spacing w:line="500" w:lineRule="exact"/>
        <w:ind w:firstLine="480" w:firstLineChars="200"/>
        <w:rPr>
          <w:rFonts w:ascii="宋体" w:hAnsi="宋体"/>
          <w:sz w:val="24"/>
        </w:rPr>
      </w:pPr>
      <w:r>
        <w:rPr>
          <w:rFonts w:hint="eastAsia" w:ascii="宋体" w:hAnsi="宋体"/>
          <w:sz w:val="24"/>
        </w:rPr>
        <w:t>在贵公司组织的竞价项目（项目编号:</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p>
    <w:p>
      <w:pPr>
        <w:spacing w:line="500" w:lineRule="exact"/>
        <w:ind w:firstLine="240" w:firstLineChars="100"/>
        <w:rPr>
          <w:rFonts w:ascii="宋体" w:hAnsi="宋体"/>
          <w:sz w:val="24"/>
        </w:rPr>
      </w:pPr>
      <w:r>
        <w:rPr>
          <w:rFonts w:hint="eastAsia" w:ascii="宋体" w:hAnsi="宋体"/>
          <w:sz w:val="24"/>
        </w:rPr>
        <w:t>竞价人名称（全称并加盖公章）：</w:t>
      </w:r>
    </w:p>
    <w:p>
      <w:pPr>
        <w:spacing w:line="500" w:lineRule="exact"/>
        <w:rPr>
          <w:rFonts w:ascii="宋体" w:hAnsi="宋体"/>
          <w:sz w:val="24"/>
        </w:rPr>
      </w:pPr>
      <w:r>
        <w:rPr>
          <w:rFonts w:hint="eastAsia" w:ascii="宋体" w:hAnsi="宋体"/>
          <w:sz w:val="24"/>
        </w:rPr>
        <w:t xml:space="preserve">  电话： 传真：</w:t>
      </w:r>
    </w:p>
    <w:p>
      <w:pPr>
        <w:spacing w:line="500" w:lineRule="exact"/>
        <w:rPr>
          <w:rFonts w:ascii="宋体" w:hAnsi="宋体"/>
          <w:sz w:val="24"/>
        </w:rPr>
      </w:pPr>
      <w:r>
        <w:rPr>
          <w:rFonts w:hint="eastAsia" w:ascii="宋体" w:hAnsi="宋体"/>
          <w:sz w:val="24"/>
        </w:rPr>
        <w:t xml:space="preserve">  竞价人授权代表签字：</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ascii="宋体" w:hAnsi="宋体"/>
          <w:sz w:val="24"/>
          <w:szCs w:val="24"/>
        </w:rPr>
      </w:pPr>
      <w:r>
        <w:rPr>
          <w:rFonts w:hint="eastAsia" w:ascii="宋体" w:hAnsi="宋体"/>
          <w:sz w:val="24"/>
          <w:szCs w:val="24"/>
        </w:rPr>
        <w:t>致：</w:t>
      </w:r>
      <w:r>
        <w:rPr>
          <w:rFonts w:hint="eastAsia" w:ascii="宋体" w:hAnsi="宋体"/>
          <w:sz w:val="24"/>
          <w:highlight w:val="yellow"/>
          <w:u w:val="single"/>
        </w:rPr>
        <w:t>**招标有限公司</w:t>
      </w:r>
    </w:p>
    <w:p>
      <w:pPr>
        <w:spacing w:line="360" w:lineRule="exact"/>
        <w:rPr>
          <w:rFonts w:ascii="宋体" w:hAnsi="宋体"/>
          <w:sz w:val="24"/>
          <w:szCs w:val="24"/>
        </w:rPr>
      </w:pPr>
    </w:p>
    <w:p>
      <w:pPr>
        <w:spacing w:line="360" w:lineRule="exact"/>
        <w:ind w:firstLine="480" w:firstLineChars="200"/>
        <w:rPr>
          <w:rFonts w:ascii="宋体" w:hAnsi="宋体"/>
          <w:sz w:val="24"/>
          <w:szCs w:val="24"/>
        </w:rPr>
      </w:pPr>
      <w:r>
        <w:rPr>
          <w:rFonts w:hint="eastAsia" w:ascii="宋体" w:hAnsi="宋体"/>
          <w:sz w:val="24"/>
          <w:szCs w:val="24"/>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hint="eastAsia" w:ascii="宋体" w:hAnsi="宋体"/>
          <w:sz w:val="24"/>
          <w:szCs w:val="24"/>
        </w:rPr>
        <w:t xml:space="preserve">竞价人（全称并加盖公章）： </w:t>
      </w:r>
    </w:p>
    <w:p>
      <w:pPr>
        <w:spacing w:line="360" w:lineRule="exact"/>
        <w:rPr>
          <w:rFonts w:ascii="宋体" w:hAnsi="宋体"/>
          <w:sz w:val="24"/>
          <w:szCs w:val="24"/>
        </w:rPr>
      </w:pPr>
      <w:r>
        <w:rPr>
          <w:rFonts w:hint="eastAsia" w:ascii="宋体" w:hAnsi="宋体"/>
          <w:sz w:val="24"/>
          <w:szCs w:val="24"/>
        </w:rPr>
        <w:t>竞价人授权代表签字：</w:t>
      </w:r>
    </w:p>
    <w:p>
      <w:pPr>
        <w:spacing w:line="360" w:lineRule="exact"/>
        <w:ind w:firstLine="3360" w:firstLineChars="1400"/>
        <w:rPr>
          <w:rFonts w:ascii="宋体" w:hAnsi="宋体"/>
          <w:sz w:val="24"/>
          <w:szCs w:val="24"/>
          <w:u w:val="single"/>
        </w:rPr>
      </w:pPr>
      <w:r>
        <w:rPr>
          <w:rFonts w:hint="eastAsia" w:ascii="宋体" w:hAnsi="宋体"/>
          <w:sz w:val="24"/>
          <w:szCs w:val="24"/>
        </w:rPr>
        <w:t>邮 编：电 话：</w:t>
      </w:r>
    </w:p>
    <w:p>
      <w:pPr>
        <w:spacing w:line="360" w:lineRule="exact"/>
        <w:rPr>
          <w:rFonts w:ascii="宋体" w:hAnsi="宋体"/>
          <w:sz w:val="24"/>
          <w:szCs w:val="24"/>
          <w:u w:val="single"/>
        </w:rPr>
      </w:pPr>
      <w:r>
        <w:rPr>
          <w:rFonts w:hint="eastAsia" w:ascii="宋体" w:hAnsi="宋体"/>
          <w:sz w:val="24"/>
          <w:szCs w:val="24"/>
        </w:rPr>
        <w:t xml:space="preserve">传 真：日 期：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p>
    <w:p>
      <w:pPr>
        <w:spacing w:line="480" w:lineRule="exact"/>
        <w:ind w:firstLine="480" w:firstLineChars="200"/>
        <w:rPr>
          <w:rFonts w:ascii="宋体" w:hAnsi="宋体"/>
          <w:sz w:val="24"/>
        </w:rPr>
      </w:pPr>
      <w:r>
        <w:rPr>
          <w:rFonts w:hint="eastAsia" w:ascii="宋体" w:hAnsi="宋体"/>
          <w:sz w:val="24"/>
        </w:rPr>
        <w:t>开户名：</w:t>
      </w:r>
    </w:p>
    <w:p>
      <w:pPr>
        <w:spacing w:line="480" w:lineRule="exact"/>
        <w:ind w:firstLine="480" w:firstLineChars="200"/>
        <w:rPr>
          <w:rFonts w:ascii="宋体" w:hAnsi="宋体"/>
          <w:sz w:val="24"/>
        </w:rPr>
      </w:pPr>
      <w:r>
        <w:rPr>
          <w:rFonts w:hint="eastAsia" w:ascii="宋体" w:hAnsi="宋体"/>
          <w:sz w:val="24"/>
        </w:rPr>
        <w:t>开户行：</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p>
    <w:p>
      <w:pPr>
        <w:spacing w:line="360" w:lineRule="exact"/>
        <w:ind w:firstLine="470" w:firstLineChars="196"/>
        <w:rPr>
          <w:rFonts w:ascii="宋体" w:hAnsi="宋体"/>
          <w:kern w:val="0"/>
          <w:sz w:val="24"/>
          <w:szCs w:val="24"/>
        </w:rPr>
      </w:pPr>
    </w:p>
    <w:p>
      <w:pPr>
        <w:rPr>
          <w:rFonts w:ascii="宋体" w:hAnsi="宋体"/>
          <w:b/>
          <w:sz w:val="24"/>
          <w:szCs w:val="24"/>
        </w:rPr>
      </w:pPr>
    </w:p>
    <w:p>
      <w:pPr>
        <w:rPr>
          <w:rFonts w:ascii="宋体" w:hAnsi="宋体"/>
          <w:b/>
          <w:sz w:val="24"/>
          <w:szCs w:val="24"/>
        </w:rPr>
      </w:pPr>
    </w:p>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4</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47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b/>
        <w:bCs/>
        <w:sz w:val="21"/>
        <w:szCs w:val="21"/>
        <w:shd w:val="clear" w:color="FFFFFF" w:fill="D9D9D9"/>
      </w:rPr>
    </w:pPr>
    <w:r>
      <w:rPr>
        <w:rFonts w:hint="eastAsia"/>
        <w:b/>
        <w:bCs/>
        <w:sz w:val="21"/>
        <w:szCs w:val="21"/>
      </w:rPr>
      <w:t xml:space="preserve">福建方兴招标代理有限公司网上竞价文件  </w:t>
    </w:r>
    <w:r>
      <w:rPr>
        <w:rFonts w:hint="eastAsia"/>
        <w:sz w:val="21"/>
        <w:szCs w:val="21"/>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b/>
        <w:bCs/>
        <w:sz w:val="21"/>
        <w:szCs w:val="21"/>
        <w:shd w:val="clear" w:color="FFFFFF" w:fill="D9D9D9"/>
      </w:rPr>
    </w:pPr>
    <w:r>
      <w:rPr>
        <w:rFonts w:hint="eastAsia"/>
        <w:b/>
        <w:bCs/>
        <w:sz w:val="21"/>
        <w:szCs w:val="21"/>
      </w:rPr>
      <w:t>福建方兴招标代理有限公司网上竞价文件2023年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rPr>
    </w:pPr>
    <w:r>
      <w:rPr>
        <w:rFonts w:hint="eastAsia"/>
        <w:sz w:val="21"/>
        <w:szCs w:val="21"/>
      </w:rPr>
      <w:t xml:space="preserve"> </w:t>
    </w:r>
  </w:p>
  <w:p>
    <w:pPr>
      <w:pStyle w:val="13"/>
      <w:jc w:val="left"/>
      <w:rPr>
        <w:b/>
        <w:bCs/>
        <w:sz w:val="21"/>
        <w:szCs w:val="21"/>
        <w:shd w:val="clear" w:color="FFFFFF" w:fill="D9D9D9"/>
      </w:rPr>
    </w:pPr>
    <w:r>
      <w:rPr>
        <w:rFonts w:hint="eastAsia"/>
        <w:b/>
        <w:bCs/>
        <w:sz w:val="21"/>
        <w:szCs w:val="21"/>
      </w:rPr>
      <w:t xml:space="preserve">福建方兴招标代理有限公司网上竞价文件  </w:t>
    </w:r>
    <w:r>
      <w:rPr>
        <w:rFonts w:hint="eastAsia"/>
        <w:sz w:val="21"/>
        <w:szCs w:val="21"/>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419FC"/>
    <w:multiLevelType w:val="singleLevel"/>
    <w:tmpl w:val="150419FC"/>
    <w:lvl w:ilvl="0" w:tentative="0">
      <w:start w:val="1"/>
      <w:numFmt w:val="decimal"/>
      <w:suff w:val="nothing"/>
      <w:lvlText w:val="%1、"/>
      <w:lvlJc w:val="left"/>
      <w:pPr>
        <w:ind w:left="-60"/>
      </w:pPr>
    </w:lvl>
  </w:abstractNum>
  <w:abstractNum w:abstractNumId="1">
    <w:nsid w:val="771D1AFD"/>
    <w:multiLevelType w:val="singleLevel"/>
    <w:tmpl w:val="771D1A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RlM2QzZGFiNTI0OWVjNTEzOWQ5MDNmZjAzZDBkMTA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6FCC"/>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82B"/>
    <w:rsid w:val="000B2AAF"/>
    <w:rsid w:val="000B368C"/>
    <w:rsid w:val="000B5574"/>
    <w:rsid w:val="000B64B4"/>
    <w:rsid w:val="000B6BC5"/>
    <w:rsid w:val="000B75C2"/>
    <w:rsid w:val="000C125F"/>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1A9"/>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587"/>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2ADD"/>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1FF3"/>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309"/>
    <w:rsid w:val="002264D1"/>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0A"/>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6B6E"/>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05C6"/>
    <w:rsid w:val="003F1D19"/>
    <w:rsid w:val="003F4F81"/>
    <w:rsid w:val="003F507F"/>
    <w:rsid w:val="003F5418"/>
    <w:rsid w:val="003F54BA"/>
    <w:rsid w:val="003F7440"/>
    <w:rsid w:val="003F7AB6"/>
    <w:rsid w:val="004005EE"/>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1E"/>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1BBC"/>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1AC4"/>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1C20"/>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32A5"/>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405"/>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6B6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C6D32"/>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5C17"/>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2F55"/>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051F"/>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5C0C"/>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38A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693"/>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6F5A"/>
    <w:rsid w:val="00FF7992"/>
    <w:rsid w:val="01C4186A"/>
    <w:rsid w:val="03F240B3"/>
    <w:rsid w:val="04223B68"/>
    <w:rsid w:val="042B3B79"/>
    <w:rsid w:val="04AB17B9"/>
    <w:rsid w:val="0514506E"/>
    <w:rsid w:val="055C30DB"/>
    <w:rsid w:val="06B64A6C"/>
    <w:rsid w:val="06BC4EBD"/>
    <w:rsid w:val="086F3C5D"/>
    <w:rsid w:val="08A66F27"/>
    <w:rsid w:val="09BF1E8A"/>
    <w:rsid w:val="0A1B2824"/>
    <w:rsid w:val="0A3960E0"/>
    <w:rsid w:val="0B5E73B8"/>
    <w:rsid w:val="0B84338B"/>
    <w:rsid w:val="0BAF213E"/>
    <w:rsid w:val="0D8B5A3F"/>
    <w:rsid w:val="0DC23725"/>
    <w:rsid w:val="0EF124A8"/>
    <w:rsid w:val="0F994BDA"/>
    <w:rsid w:val="10CE34A5"/>
    <w:rsid w:val="11E46AD9"/>
    <w:rsid w:val="12CE0CCB"/>
    <w:rsid w:val="12E84762"/>
    <w:rsid w:val="14332AA2"/>
    <w:rsid w:val="15E578DB"/>
    <w:rsid w:val="168E00BA"/>
    <w:rsid w:val="17095124"/>
    <w:rsid w:val="17253917"/>
    <w:rsid w:val="176157E0"/>
    <w:rsid w:val="18251A52"/>
    <w:rsid w:val="189E2745"/>
    <w:rsid w:val="1B81514C"/>
    <w:rsid w:val="1CF25D58"/>
    <w:rsid w:val="1D880B8C"/>
    <w:rsid w:val="1DAE2FF5"/>
    <w:rsid w:val="1DDF14E8"/>
    <w:rsid w:val="1EAF35C3"/>
    <w:rsid w:val="1EEE2C17"/>
    <w:rsid w:val="203F4A14"/>
    <w:rsid w:val="219A5EAA"/>
    <w:rsid w:val="21E47170"/>
    <w:rsid w:val="223418D8"/>
    <w:rsid w:val="228E5395"/>
    <w:rsid w:val="231316E0"/>
    <w:rsid w:val="23B469DD"/>
    <w:rsid w:val="24093AD0"/>
    <w:rsid w:val="256F1ACC"/>
    <w:rsid w:val="26712A32"/>
    <w:rsid w:val="26D44D6F"/>
    <w:rsid w:val="27167FD6"/>
    <w:rsid w:val="279F33BC"/>
    <w:rsid w:val="27E504FD"/>
    <w:rsid w:val="27FA121B"/>
    <w:rsid w:val="286F0971"/>
    <w:rsid w:val="299B1B74"/>
    <w:rsid w:val="29C60DE7"/>
    <w:rsid w:val="2AB02639"/>
    <w:rsid w:val="2B6B0546"/>
    <w:rsid w:val="2BC55C02"/>
    <w:rsid w:val="2CCD473A"/>
    <w:rsid w:val="307638BD"/>
    <w:rsid w:val="30945488"/>
    <w:rsid w:val="30CE417F"/>
    <w:rsid w:val="33D642F0"/>
    <w:rsid w:val="352B64A2"/>
    <w:rsid w:val="35AC7A87"/>
    <w:rsid w:val="364628BA"/>
    <w:rsid w:val="36DB3EF8"/>
    <w:rsid w:val="381C47C8"/>
    <w:rsid w:val="383638D7"/>
    <w:rsid w:val="39097321"/>
    <w:rsid w:val="392C27E9"/>
    <w:rsid w:val="39A806B0"/>
    <w:rsid w:val="3AB962FE"/>
    <w:rsid w:val="3ACA3C1A"/>
    <w:rsid w:val="3CCA2A44"/>
    <w:rsid w:val="3D377C17"/>
    <w:rsid w:val="3DA176E8"/>
    <w:rsid w:val="3E917F22"/>
    <w:rsid w:val="3EF75647"/>
    <w:rsid w:val="3FF27145"/>
    <w:rsid w:val="433C57DE"/>
    <w:rsid w:val="4431722A"/>
    <w:rsid w:val="459F3964"/>
    <w:rsid w:val="45D36FC9"/>
    <w:rsid w:val="46394C2F"/>
    <w:rsid w:val="46826C09"/>
    <w:rsid w:val="483774AF"/>
    <w:rsid w:val="4AA512B5"/>
    <w:rsid w:val="4B6D1FAC"/>
    <w:rsid w:val="4C5145E8"/>
    <w:rsid w:val="4E9E66C1"/>
    <w:rsid w:val="4F562A46"/>
    <w:rsid w:val="4F744245"/>
    <w:rsid w:val="4FD049AE"/>
    <w:rsid w:val="4FF56069"/>
    <w:rsid w:val="502C3A5B"/>
    <w:rsid w:val="50560F63"/>
    <w:rsid w:val="50A11FE0"/>
    <w:rsid w:val="50F36E61"/>
    <w:rsid w:val="51165E00"/>
    <w:rsid w:val="51663853"/>
    <w:rsid w:val="520557EB"/>
    <w:rsid w:val="53291E31"/>
    <w:rsid w:val="534E3F70"/>
    <w:rsid w:val="55E5452C"/>
    <w:rsid w:val="5617149D"/>
    <w:rsid w:val="56C8194B"/>
    <w:rsid w:val="56FD68E6"/>
    <w:rsid w:val="58653A35"/>
    <w:rsid w:val="58FC10A1"/>
    <w:rsid w:val="5ACC7530"/>
    <w:rsid w:val="5B45770F"/>
    <w:rsid w:val="5C323CC9"/>
    <w:rsid w:val="5D531BD6"/>
    <w:rsid w:val="5EF20E99"/>
    <w:rsid w:val="5FF23595"/>
    <w:rsid w:val="603636FA"/>
    <w:rsid w:val="60B57668"/>
    <w:rsid w:val="611F52A7"/>
    <w:rsid w:val="62592099"/>
    <w:rsid w:val="64990483"/>
    <w:rsid w:val="64A27185"/>
    <w:rsid w:val="654A5C21"/>
    <w:rsid w:val="695619A4"/>
    <w:rsid w:val="69996F2C"/>
    <w:rsid w:val="69F4189C"/>
    <w:rsid w:val="6A4B51AA"/>
    <w:rsid w:val="6AA535B7"/>
    <w:rsid w:val="6AF37D4D"/>
    <w:rsid w:val="6B332D24"/>
    <w:rsid w:val="6E1003CC"/>
    <w:rsid w:val="6F0F730C"/>
    <w:rsid w:val="703419A7"/>
    <w:rsid w:val="710D46D2"/>
    <w:rsid w:val="71DC2CCB"/>
    <w:rsid w:val="729907F9"/>
    <w:rsid w:val="735B0AF4"/>
    <w:rsid w:val="737A5923"/>
    <w:rsid w:val="73CA0659"/>
    <w:rsid w:val="75D578C6"/>
    <w:rsid w:val="768D3BBF"/>
    <w:rsid w:val="77006D6D"/>
    <w:rsid w:val="770E4D00"/>
    <w:rsid w:val="783D6892"/>
    <w:rsid w:val="79371842"/>
    <w:rsid w:val="795669FF"/>
    <w:rsid w:val="796735AD"/>
    <w:rsid w:val="79D833A4"/>
    <w:rsid w:val="7A083C89"/>
    <w:rsid w:val="7B495DA3"/>
    <w:rsid w:val="7BA23C69"/>
    <w:rsid w:val="7BA5226B"/>
    <w:rsid w:val="7CAF4C07"/>
    <w:rsid w:val="7D1D6375"/>
    <w:rsid w:val="7E731BEA"/>
    <w:rsid w:val="7E9A50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7"/>
    <w:qFormat/>
    <w:uiPriority w:val="0"/>
    <w:pPr>
      <w:keepNext/>
      <w:keepLines/>
      <w:spacing w:before="340" w:after="330" w:line="578" w:lineRule="auto"/>
      <w:jc w:val="center"/>
      <w:outlineLvl w:val="0"/>
    </w:pPr>
    <w:rPr>
      <w:rFonts w:eastAsia="黑体"/>
      <w:b/>
      <w:kern w:val="44"/>
      <w:sz w:val="36"/>
    </w:rPr>
  </w:style>
  <w:style w:type="paragraph" w:styleId="2">
    <w:name w:val="heading 3"/>
    <w:basedOn w:val="3"/>
    <w:next w:val="1"/>
    <w:link w:val="29"/>
    <w:qFormat/>
    <w:uiPriority w:val="0"/>
    <w:pPr>
      <w:spacing w:before="260" w:after="260" w:line="413" w:lineRule="auto"/>
      <w:outlineLvl w:val="2"/>
    </w:pPr>
    <w:rPr>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0"/>
    <w:semiHidden/>
    <w:qFormat/>
    <w:uiPriority w:val="0"/>
    <w:pPr>
      <w:shd w:val="clear" w:color="auto" w:fill="000080"/>
    </w:pPr>
  </w:style>
  <w:style w:type="paragraph" w:styleId="5">
    <w:name w:val="annotation text"/>
    <w:basedOn w:val="1"/>
    <w:link w:val="31"/>
    <w:qFormat/>
    <w:uiPriority w:val="0"/>
    <w:pPr>
      <w:jc w:val="left"/>
    </w:pPr>
  </w:style>
  <w:style w:type="paragraph" w:styleId="6">
    <w:name w:val="Closing"/>
    <w:basedOn w:val="1"/>
    <w:link w:val="32"/>
    <w:unhideWhenUsed/>
    <w:qFormat/>
    <w:uiPriority w:val="0"/>
    <w:pPr>
      <w:ind w:left="100" w:leftChars="2100"/>
    </w:pPr>
    <w:rPr>
      <w:szCs w:val="24"/>
    </w:rPr>
  </w:style>
  <w:style w:type="paragraph" w:styleId="7">
    <w:name w:val="Body Text"/>
    <w:basedOn w:val="1"/>
    <w:next w:val="8"/>
    <w:link w:val="33"/>
    <w:qFormat/>
    <w:uiPriority w:val="0"/>
    <w:pPr>
      <w:spacing w:after="120"/>
    </w:pPr>
  </w:style>
  <w:style w:type="paragraph" w:styleId="8">
    <w:name w:val="Plain Text"/>
    <w:basedOn w:val="1"/>
    <w:link w:val="34"/>
    <w:qFormat/>
    <w:uiPriority w:val="0"/>
    <w:rPr>
      <w:rFonts w:ascii="宋体" w:hAnsi="Courier New"/>
    </w:rPr>
  </w:style>
  <w:style w:type="paragraph" w:styleId="9">
    <w:name w:val="Body Text Indent"/>
    <w:basedOn w:val="1"/>
    <w:next w:val="10"/>
    <w:link w:val="35"/>
    <w:qFormat/>
    <w:uiPriority w:val="99"/>
    <w:pPr>
      <w:ind w:firstLine="645"/>
    </w:pPr>
    <w:rPr>
      <w:rFonts w:ascii="楷体_GB2312" w:eastAsia="楷体_GB2312"/>
      <w:sz w:val="32"/>
    </w:rPr>
  </w:style>
  <w:style w:type="paragraph" w:styleId="10">
    <w:name w:val="envelope return"/>
    <w:basedOn w:val="1"/>
    <w:qFormat/>
    <w:uiPriority w:val="99"/>
    <w:pPr>
      <w:snapToGrid w:val="0"/>
    </w:pPr>
    <w:rPr>
      <w:rFonts w:ascii="Arial" w:hAnsi="Arial" w:cs="Arial"/>
    </w:rPr>
  </w:style>
  <w:style w:type="paragraph" w:styleId="11">
    <w:name w:val="Balloon Text"/>
    <w:basedOn w:val="1"/>
    <w:link w:val="36"/>
    <w:qFormat/>
    <w:uiPriority w:val="0"/>
    <w:rPr>
      <w:sz w:val="18"/>
      <w:szCs w:val="18"/>
    </w:rPr>
  </w:style>
  <w:style w:type="paragraph" w:styleId="12">
    <w:name w:val="footer"/>
    <w:basedOn w:val="1"/>
    <w:link w:val="37"/>
    <w:qFormat/>
    <w:uiPriority w:val="0"/>
    <w:pPr>
      <w:tabs>
        <w:tab w:val="center" w:pos="4153"/>
        <w:tab w:val="right" w:pos="8306"/>
      </w:tabs>
      <w:snapToGrid w:val="0"/>
      <w:jc w:val="left"/>
    </w:pPr>
    <w:rPr>
      <w:sz w:val="18"/>
      <w:szCs w:val="18"/>
    </w:rPr>
  </w:style>
  <w:style w:type="paragraph" w:styleId="13">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qFormat/>
    <w:uiPriority w:val="0"/>
    <w:pPr>
      <w:ind w:left="200" w:leftChars="200" w:hanging="200" w:hangingChars="200"/>
    </w:pPr>
  </w:style>
  <w:style w:type="paragraph" w:styleId="15">
    <w:name w:val="Body Text 2"/>
    <w:basedOn w:val="1"/>
    <w:link w:val="39"/>
    <w:qFormat/>
    <w:uiPriority w:val="0"/>
    <w:pPr>
      <w:spacing w:after="120" w:line="480" w:lineRule="auto"/>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Title"/>
    <w:basedOn w:val="1"/>
    <w:next w:val="1"/>
    <w:qFormat/>
    <w:uiPriority w:val="0"/>
    <w:pPr>
      <w:spacing w:before="240" w:after="60"/>
      <w:jc w:val="center"/>
      <w:outlineLvl w:val="0"/>
    </w:pPr>
    <w:rPr>
      <w:rFonts w:ascii="Cambria" w:hAnsi="Cambria"/>
      <w:b/>
      <w:bCs/>
      <w:kern w:val="0"/>
      <w:sz w:val="32"/>
      <w:szCs w:val="32"/>
    </w:rPr>
  </w:style>
  <w:style w:type="paragraph" w:styleId="18">
    <w:name w:val="annotation subject"/>
    <w:basedOn w:val="5"/>
    <w:next w:val="5"/>
    <w:link w:val="40"/>
    <w:qFormat/>
    <w:uiPriority w:val="0"/>
    <w:rPr>
      <w:b/>
      <w:bCs/>
    </w:rPr>
  </w:style>
  <w:style w:type="paragraph" w:styleId="19">
    <w:name w:val="Body Text First Indent 2"/>
    <w:basedOn w:val="9"/>
    <w:link w:val="41"/>
    <w:qFormat/>
    <w:uiPriority w:val="99"/>
    <w:pPr>
      <w:spacing w:after="120"/>
      <w:ind w:left="420" w:leftChars="200" w:firstLine="420" w:firstLineChars="200"/>
    </w:pPr>
    <w:rPr>
      <w:rFonts w:ascii="Times New Roman" w:eastAsia="宋体"/>
      <w:sz w:val="21"/>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Char"/>
    <w:basedOn w:val="22"/>
    <w:link w:val="3"/>
    <w:qFormat/>
    <w:uiPriority w:val="0"/>
    <w:rPr>
      <w:rFonts w:ascii="Times New Roman" w:hAnsi="Times New Roman" w:eastAsia="黑体" w:cs="Times New Roman"/>
      <w:b/>
      <w:kern w:val="44"/>
      <w:sz w:val="36"/>
      <w:szCs w:val="20"/>
    </w:rPr>
  </w:style>
  <w:style w:type="paragraph" w:customStyle="1" w:styleId="2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character" w:customStyle="1" w:styleId="29">
    <w:name w:val="标题 3 Char"/>
    <w:basedOn w:val="22"/>
    <w:link w:val="2"/>
    <w:qFormat/>
    <w:uiPriority w:val="0"/>
    <w:rPr>
      <w:rFonts w:ascii="Times New Roman" w:hAnsi="Times New Roman" w:eastAsia="黑体" w:cs="Times New Roman"/>
      <w:b/>
      <w:kern w:val="44"/>
      <w:sz w:val="32"/>
      <w:szCs w:val="20"/>
    </w:rPr>
  </w:style>
  <w:style w:type="character" w:customStyle="1" w:styleId="30">
    <w:name w:val="文档结构图 Char"/>
    <w:basedOn w:val="22"/>
    <w:link w:val="4"/>
    <w:semiHidden/>
    <w:qFormat/>
    <w:uiPriority w:val="0"/>
    <w:rPr>
      <w:rFonts w:ascii="Times New Roman" w:hAnsi="Times New Roman" w:eastAsia="宋体" w:cs="Times New Roman"/>
      <w:szCs w:val="20"/>
      <w:shd w:val="clear" w:color="auto" w:fill="000080"/>
    </w:rPr>
  </w:style>
  <w:style w:type="character" w:customStyle="1" w:styleId="31">
    <w:name w:val="批注文字 Char"/>
    <w:basedOn w:val="22"/>
    <w:link w:val="5"/>
    <w:qFormat/>
    <w:uiPriority w:val="0"/>
    <w:rPr>
      <w:rFonts w:ascii="Times New Roman" w:hAnsi="Times New Roman" w:eastAsia="宋体" w:cs="Times New Roman"/>
      <w:szCs w:val="20"/>
    </w:rPr>
  </w:style>
  <w:style w:type="character" w:customStyle="1" w:styleId="32">
    <w:name w:val="结束语 Char"/>
    <w:basedOn w:val="22"/>
    <w:link w:val="6"/>
    <w:qFormat/>
    <w:uiPriority w:val="0"/>
    <w:rPr>
      <w:rFonts w:ascii="Times New Roman" w:hAnsi="Times New Roman" w:eastAsia="宋体" w:cs="Times New Roman"/>
      <w:szCs w:val="24"/>
    </w:rPr>
  </w:style>
  <w:style w:type="character" w:customStyle="1" w:styleId="33">
    <w:name w:val="正文文本 Char"/>
    <w:basedOn w:val="22"/>
    <w:link w:val="7"/>
    <w:qFormat/>
    <w:uiPriority w:val="0"/>
    <w:rPr>
      <w:rFonts w:ascii="Times New Roman" w:hAnsi="Times New Roman" w:eastAsia="宋体" w:cs="Times New Roman"/>
      <w:szCs w:val="20"/>
    </w:rPr>
  </w:style>
  <w:style w:type="character" w:customStyle="1" w:styleId="34">
    <w:name w:val="纯文本 Char"/>
    <w:basedOn w:val="22"/>
    <w:link w:val="8"/>
    <w:qFormat/>
    <w:uiPriority w:val="0"/>
    <w:rPr>
      <w:rFonts w:ascii="宋体" w:hAnsi="Courier New" w:eastAsia="宋体" w:cs="Times New Roman"/>
      <w:szCs w:val="20"/>
    </w:rPr>
  </w:style>
  <w:style w:type="character" w:customStyle="1" w:styleId="35">
    <w:name w:val="正文文本缩进 Char"/>
    <w:basedOn w:val="22"/>
    <w:link w:val="9"/>
    <w:qFormat/>
    <w:uiPriority w:val="99"/>
    <w:rPr>
      <w:rFonts w:ascii="楷体_GB2312" w:hAnsi="Times New Roman" w:eastAsia="楷体_GB2312" w:cs="Times New Roman"/>
      <w:sz w:val="32"/>
      <w:szCs w:val="20"/>
    </w:rPr>
  </w:style>
  <w:style w:type="character" w:customStyle="1" w:styleId="36">
    <w:name w:val="批注框文本 Char"/>
    <w:basedOn w:val="22"/>
    <w:link w:val="11"/>
    <w:qFormat/>
    <w:uiPriority w:val="0"/>
    <w:rPr>
      <w:rFonts w:ascii="Times New Roman" w:hAnsi="Times New Roman" w:eastAsia="宋体" w:cs="Times New Roman"/>
      <w:sz w:val="18"/>
      <w:szCs w:val="18"/>
    </w:rPr>
  </w:style>
  <w:style w:type="character" w:customStyle="1" w:styleId="37">
    <w:name w:val="页脚 Char"/>
    <w:basedOn w:val="22"/>
    <w:link w:val="12"/>
    <w:qFormat/>
    <w:uiPriority w:val="0"/>
    <w:rPr>
      <w:rFonts w:ascii="Times New Roman" w:hAnsi="Times New Roman" w:eastAsia="宋体" w:cs="Times New Roman"/>
      <w:sz w:val="18"/>
      <w:szCs w:val="18"/>
    </w:rPr>
  </w:style>
  <w:style w:type="character" w:customStyle="1" w:styleId="38">
    <w:name w:val="页眉 Char"/>
    <w:basedOn w:val="22"/>
    <w:link w:val="13"/>
    <w:qFormat/>
    <w:uiPriority w:val="0"/>
    <w:rPr>
      <w:rFonts w:ascii="Times New Roman" w:hAnsi="Times New Roman" w:eastAsia="宋体" w:cs="Times New Roman"/>
      <w:sz w:val="18"/>
      <w:szCs w:val="18"/>
    </w:rPr>
  </w:style>
  <w:style w:type="character" w:customStyle="1" w:styleId="39">
    <w:name w:val="正文文本 2 Char"/>
    <w:basedOn w:val="22"/>
    <w:link w:val="15"/>
    <w:qFormat/>
    <w:uiPriority w:val="0"/>
    <w:rPr>
      <w:rFonts w:ascii="Times New Roman" w:hAnsi="Times New Roman" w:eastAsia="宋体" w:cs="Times New Roman"/>
      <w:szCs w:val="20"/>
    </w:rPr>
  </w:style>
  <w:style w:type="character" w:customStyle="1" w:styleId="40">
    <w:name w:val="批注主题 Char"/>
    <w:basedOn w:val="31"/>
    <w:link w:val="18"/>
    <w:qFormat/>
    <w:uiPriority w:val="0"/>
    <w:rPr>
      <w:rFonts w:ascii="Times New Roman" w:hAnsi="Times New Roman" w:eastAsia="宋体" w:cs="Times New Roman"/>
      <w:b/>
      <w:bCs/>
      <w:szCs w:val="20"/>
    </w:rPr>
  </w:style>
  <w:style w:type="character" w:customStyle="1" w:styleId="41">
    <w:name w:val="正文首行缩进 2 Char"/>
    <w:basedOn w:val="35"/>
    <w:link w:val="19"/>
    <w:qFormat/>
    <w:uiPriority w:val="99"/>
    <w:rPr>
      <w:rFonts w:ascii="Times New Roman" w:hAnsi="Times New Roman" w:eastAsia="宋体" w:cs="Times New Roman"/>
      <w:sz w:val="32"/>
      <w:szCs w:val="24"/>
    </w:rPr>
  </w:style>
  <w:style w:type="character" w:customStyle="1" w:styleId="42">
    <w:name w:val="text11"/>
    <w:qFormat/>
    <w:uiPriority w:val="0"/>
    <w:rPr>
      <w:rFonts w:hint="default" w:ascii="Verdana" w:hAnsi="Verdana"/>
      <w:color w:val="4E4E4E"/>
      <w:sz w:val="18"/>
      <w:szCs w:val="18"/>
    </w:rPr>
  </w:style>
  <w:style w:type="paragraph" w:customStyle="1" w:styleId="43">
    <w:name w:val="Char Char14"/>
    <w:basedOn w:val="4"/>
    <w:qFormat/>
    <w:uiPriority w:val="0"/>
    <w:pPr>
      <w:adjustRightInd w:val="0"/>
      <w:snapToGrid w:val="0"/>
      <w:spacing w:line="360" w:lineRule="auto"/>
    </w:pPr>
  </w:style>
  <w:style w:type="paragraph" w:customStyle="1" w:styleId="44">
    <w:name w:val="样式3"/>
    <w:basedOn w:val="8"/>
    <w:qFormat/>
    <w:uiPriority w:val="0"/>
    <w:pPr>
      <w:spacing w:line="0" w:lineRule="atLeast"/>
      <w:outlineLvl w:val="0"/>
    </w:pPr>
    <w:rPr>
      <w:sz w:val="28"/>
    </w:rPr>
  </w:style>
  <w:style w:type="paragraph" w:customStyle="1" w:styleId="45">
    <w:name w:val="Char1 Char Char Char Char Char Char"/>
    <w:basedOn w:val="1"/>
    <w:qFormat/>
    <w:uiPriority w:val="0"/>
    <w:rPr>
      <w:rFonts w:ascii="Tahoma" w:hAnsi="Tahoma"/>
      <w:sz w:val="24"/>
    </w:rPr>
  </w:style>
  <w:style w:type="paragraph" w:customStyle="1" w:styleId="46">
    <w:name w:val="样式2"/>
    <w:basedOn w:val="14"/>
    <w:qFormat/>
    <w:uiPriority w:val="0"/>
  </w:style>
  <w:style w:type="paragraph" w:customStyle="1" w:styleId="47">
    <w:name w:val="标准"/>
    <w:basedOn w:val="1"/>
    <w:qFormat/>
    <w:uiPriority w:val="0"/>
    <w:pPr>
      <w:spacing w:line="360" w:lineRule="auto"/>
      <w:ind w:firstLine="200" w:firstLineChars="200"/>
    </w:pPr>
    <w:rPr>
      <w:rFonts w:cs="宋体"/>
    </w:rPr>
  </w:style>
  <w:style w:type="paragraph" w:customStyle="1" w:styleId="48">
    <w:name w:val="列表段落"/>
    <w:basedOn w:val="1"/>
    <w:qFormat/>
    <w:uiPriority w:val="34"/>
    <w:pPr>
      <w:ind w:firstLine="420" w:firstLineChars="200"/>
    </w:pPr>
    <w:rPr>
      <w:rFonts w:ascii="Calibri" w:hAnsi="Calibri"/>
      <w:szCs w:val="22"/>
    </w:rPr>
  </w:style>
  <w:style w:type="paragraph" w:customStyle="1" w:styleId="49">
    <w:name w:val="列表段落1"/>
    <w:basedOn w:val="1"/>
    <w:qFormat/>
    <w:uiPriority w:val="0"/>
    <w:pPr>
      <w:ind w:firstLine="420" w:firstLineChars="200"/>
    </w:pPr>
    <w:rPr>
      <w:rFonts w:cs="黑体"/>
      <w:szCs w:val="22"/>
    </w:rPr>
  </w:style>
  <w:style w:type="paragraph" w:customStyle="1" w:styleId="50">
    <w:name w:val="null3"/>
    <w:qFormat/>
    <w:uiPriority w:val="0"/>
    <w:rPr>
      <w:rFonts w:hint="eastAsia" w:ascii="Calibri" w:hAnsi="Calibri" w:eastAsia="宋体" w:cs="Times New Roman"/>
      <w:lang w:val="en-US" w:eastAsia="zh-CN" w:bidi="ar-SA"/>
    </w:rPr>
  </w:style>
  <w:style w:type="table" w:customStyle="1" w:styleId="51">
    <w:name w:val="Table Normal"/>
    <w:semiHidden/>
    <w:unhideWhenUsed/>
    <w:qFormat/>
    <w:uiPriority w:val="0"/>
    <w:tblPr>
      <w:tblCellMar>
        <w:top w:w="0" w:type="dxa"/>
        <w:left w:w="0" w:type="dxa"/>
        <w:bottom w:w="0" w:type="dxa"/>
        <w:right w:w="0" w:type="dxa"/>
      </w:tblCellMar>
    </w:tblPr>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font21"/>
    <w:basedOn w:val="22"/>
    <w:qFormat/>
    <w:uiPriority w:val="0"/>
    <w:rPr>
      <w:rFonts w:hint="eastAsia" w:ascii="仿宋" w:hAnsi="仿宋" w:eastAsia="仿宋" w:cs="仿宋"/>
      <w:color w:val="000000"/>
      <w:sz w:val="24"/>
      <w:szCs w:val="24"/>
      <w:u w:val="none"/>
    </w:rPr>
  </w:style>
  <w:style w:type="character" w:customStyle="1" w:styleId="54">
    <w:name w:val="font11"/>
    <w:basedOn w:val="22"/>
    <w:qFormat/>
    <w:uiPriority w:val="0"/>
    <w:rPr>
      <w:rFonts w:hint="eastAsia" w:ascii="仿宋" w:hAnsi="仿宋" w:eastAsia="仿宋" w:cs="仿宋"/>
      <w:color w:val="000000"/>
      <w:sz w:val="24"/>
      <w:szCs w:val="24"/>
      <w:u w:val="none"/>
    </w:rPr>
  </w:style>
  <w:style w:type="paragraph" w:customStyle="1" w:styleId="5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3854</Words>
  <Characters>21974</Characters>
  <Lines>183</Lines>
  <Paragraphs>51</Paragraphs>
  <TotalTime>3</TotalTime>
  <ScaleCrop>false</ScaleCrop>
  <LinksUpToDate>false</LinksUpToDate>
  <CharactersWithSpaces>25777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2023-12-05T00:54:00Z</dcterms:created>
  <dc:creator>Administrator</dc:creator>
  <cp:lastModifiedBy>FX</cp:lastModifiedBy>
  <cp:lastPrinted>2023-07-10T02:13:00Z</cp:lastPrinted>
  <dcterms:modified xsi:type="dcterms:W3CDTF">2023-12-08T08:56:32Z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9AB04EB906484C568CCAE3CEC2B669B9_12</vt:lpwstr>
  </property>
</Properties>
</file>